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5F12" w:rsidRPr="00DD7389" w:rsidRDefault="00905F12" w:rsidP="00292E6C">
      <w:pPr>
        <w:spacing w:after="120"/>
        <w:ind w:right="-1"/>
        <w:jc w:val="both"/>
        <w:rPr>
          <w:rFonts w:ascii="Verdana" w:eastAsia="Courier New" w:hAnsi="Verdana"/>
          <w:b/>
        </w:rPr>
      </w:pPr>
      <w:r w:rsidRPr="00DD7389">
        <w:rPr>
          <w:rFonts w:ascii="Verdana" w:eastAsia="Courier New" w:hAnsi="Verdana"/>
          <w:b/>
        </w:rPr>
        <w:t>ESTRATEGIA DE GAMIFICACIÓN PARA DESARROLLAR HABILIDADES COGNITIVAS EN ESTUDIANTES DE</w:t>
      </w:r>
      <w:r w:rsidR="0081486E" w:rsidRPr="00DD7389">
        <w:rPr>
          <w:rFonts w:ascii="Verdana" w:eastAsia="Courier New" w:hAnsi="Verdana"/>
          <w:b/>
        </w:rPr>
        <w:t xml:space="preserve"> PREPARATORIA</w:t>
      </w:r>
      <w:r w:rsidR="00E248C7" w:rsidRPr="00DD7389">
        <w:rPr>
          <w:rFonts w:ascii="Verdana" w:eastAsia="Courier New" w:hAnsi="Verdana"/>
          <w:b/>
        </w:rPr>
        <w:t xml:space="preserve">, </w:t>
      </w:r>
      <w:r w:rsidRPr="00DD7389">
        <w:rPr>
          <w:rFonts w:ascii="Verdana" w:eastAsia="Courier New" w:hAnsi="Verdana"/>
          <w:b/>
        </w:rPr>
        <w:t>ESCUELA BÁSICA BABAHOYO</w:t>
      </w:r>
      <w:r w:rsidR="00E248C7" w:rsidRPr="00DD7389">
        <w:rPr>
          <w:rFonts w:ascii="Verdana" w:eastAsia="Courier New" w:hAnsi="Verdana"/>
          <w:b/>
        </w:rPr>
        <w:t>.</w:t>
      </w:r>
    </w:p>
    <w:p w:rsidR="007513C3" w:rsidRPr="007665AD" w:rsidRDefault="0081486E" w:rsidP="00292E6C">
      <w:pPr>
        <w:spacing w:after="120"/>
        <w:rPr>
          <w:rFonts w:ascii="Verdana" w:hAnsi="Verdana" w:cs="Arial"/>
        </w:rPr>
      </w:pPr>
      <w:r w:rsidRPr="007665AD">
        <w:rPr>
          <w:rFonts w:ascii="Verdana" w:hAnsi="Verdana" w:cs="Arial"/>
          <w:bCs/>
        </w:rPr>
        <w:t>GAMIFICACIÓN PARA DESARROLLAR HABILIDADES COGNITIVAS</w:t>
      </w:r>
      <w:r w:rsidR="007513C3" w:rsidRPr="007665AD">
        <w:rPr>
          <w:rFonts w:ascii="Verdana" w:hAnsi="Verdana" w:cs="Arial"/>
          <w:bCs/>
        </w:rPr>
        <w:t xml:space="preserve">                                                                     </w:t>
      </w:r>
    </w:p>
    <w:p w:rsidR="00292E6C" w:rsidRDefault="00292E6C" w:rsidP="00292E6C">
      <w:pPr>
        <w:tabs>
          <w:tab w:val="left" w:pos="142"/>
        </w:tabs>
        <w:spacing w:after="120"/>
        <w:rPr>
          <w:rFonts w:ascii="Verdana" w:hAnsi="Verdana" w:cs="Arial"/>
        </w:rPr>
      </w:pPr>
    </w:p>
    <w:p w:rsidR="00A36799" w:rsidRPr="00DD7389" w:rsidRDefault="00745194" w:rsidP="00292E6C">
      <w:pPr>
        <w:tabs>
          <w:tab w:val="left" w:pos="142"/>
        </w:tabs>
        <w:spacing w:after="120"/>
        <w:rPr>
          <w:rFonts w:ascii="Verdana" w:hAnsi="Verdana"/>
          <w:bCs/>
          <w:vertAlign w:val="superscript"/>
        </w:rPr>
      </w:pPr>
      <w:r w:rsidRPr="00DD7389">
        <w:rPr>
          <w:rFonts w:ascii="Verdana" w:hAnsi="Verdana" w:cs="Arial"/>
        </w:rPr>
        <w:t>Autor</w:t>
      </w:r>
      <w:r w:rsidR="00BB156A">
        <w:rPr>
          <w:rFonts w:ascii="Verdana" w:hAnsi="Verdana" w:cs="Arial"/>
        </w:rPr>
        <w:t>es</w:t>
      </w:r>
      <w:r w:rsidR="008B3758">
        <w:rPr>
          <w:rFonts w:ascii="Verdana" w:hAnsi="Verdana" w:cs="Arial"/>
        </w:rPr>
        <w:t xml:space="preserve">: </w:t>
      </w:r>
      <w:r w:rsidR="00A36799" w:rsidRPr="00DD7389">
        <w:rPr>
          <w:rFonts w:ascii="Verdana" w:hAnsi="Verdana"/>
          <w:bCs/>
        </w:rPr>
        <w:t xml:space="preserve">Iliana Elizabeth Vélez Quijije </w:t>
      </w:r>
      <w:r w:rsidR="002B0C86" w:rsidRPr="00DD7389">
        <w:rPr>
          <w:rFonts w:ascii="Verdana" w:hAnsi="Verdana"/>
          <w:bCs/>
          <w:vertAlign w:val="superscript"/>
        </w:rPr>
        <w:t>1</w:t>
      </w:r>
    </w:p>
    <w:p w:rsidR="00A36799" w:rsidRPr="00DD7389" w:rsidRDefault="00BB156A" w:rsidP="00292E6C">
      <w:pPr>
        <w:spacing w:after="120"/>
        <w:rPr>
          <w:rFonts w:ascii="Verdana" w:hAnsi="Verdana"/>
          <w:vertAlign w:val="superscript"/>
        </w:rPr>
      </w:pPr>
      <w:r>
        <w:rPr>
          <w:rFonts w:ascii="Verdana" w:hAnsi="Verdana"/>
          <w:bCs/>
        </w:rPr>
        <w:t xml:space="preserve">             </w:t>
      </w:r>
      <w:r w:rsidR="00A36799" w:rsidRPr="00DD7389">
        <w:rPr>
          <w:rFonts w:ascii="Verdana" w:hAnsi="Verdana"/>
          <w:bCs/>
        </w:rPr>
        <w:t xml:space="preserve">Rafael Tejeda Díaz </w:t>
      </w:r>
      <w:r w:rsidR="002B0C86" w:rsidRPr="00DD7389">
        <w:rPr>
          <w:rFonts w:ascii="Verdana" w:hAnsi="Verdana"/>
          <w:bCs/>
          <w:vertAlign w:val="superscript"/>
        </w:rPr>
        <w:t>2</w:t>
      </w:r>
    </w:p>
    <w:p w:rsidR="007513C3" w:rsidRPr="00DD7389" w:rsidRDefault="007513C3" w:rsidP="00292E6C">
      <w:pPr>
        <w:spacing w:after="120"/>
        <w:rPr>
          <w:rFonts w:ascii="Verdana" w:hAnsi="Verdana" w:cs="Arial"/>
        </w:rPr>
      </w:pPr>
    </w:p>
    <w:p w:rsidR="00A36799" w:rsidRPr="00DD7389" w:rsidRDefault="007513C3" w:rsidP="00292E6C">
      <w:pPr>
        <w:spacing w:after="120"/>
        <w:rPr>
          <w:rFonts w:ascii="Verdana" w:hAnsi="Verdana"/>
          <w:bCs/>
        </w:rPr>
      </w:pPr>
      <w:r w:rsidRPr="00DD7389">
        <w:rPr>
          <w:rFonts w:ascii="Verdana" w:hAnsi="Verdana" w:cs="Arial"/>
        </w:rPr>
        <w:t xml:space="preserve">DIRECCIÓN PARA CORRESPONDENCIA: </w:t>
      </w:r>
      <w:hyperlink r:id="rId8" w:history="1">
        <w:r w:rsidR="00A36799" w:rsidRPr="00DD7389">
          <w:rPr>
            <w:rStyle w:val="Hipervnculo"/>
            <w:rFonts w:ascii="Verdana" w:hAnsi="Verdana"/>
            <w:bCs/>
          </w:rPr>
          <w:t>ivelez4079@utm.edu.ec</w:t>
        </w:r>
      </w:hyperlink>
    </w:p>
    <w:p w:rsidR="006629F7" w:rsidRDefault="006629F7" w:rsidP="00292E6C">
      <w:pPr>
        <w:spacing w:after="120"/>
        <w:jc w:val="both"/>
        <w:rPr>
          <w:rFonts w:ascii="Verdana" w:hAnsi="Verdana" w:cs="Arial"/>
        </w:rPr>
      </w:pPr>
    </w:p>
    <w:p w:rsidR="007513C3" w:rsidRPr="00DD7389" w:rsidRDefault="007513C3" w:rsidP="00292E6C">
      <w:pPr>
        <w:spacing w:after="120"/>
        <w:jc w:val="both"/>
        <w:rPr>
          <w:rFonts w:ascii="Verdana" w:hAnsi="Verdana" w:cs="Arial"/>
        </w:rPr>
      </w:pPr>
      <w:r w:rsidRPr="00DD7389">
        <w:rPr>
          <w:rFonts w:ascii="Verdana" w:hAnsi="Verdana" w:cs="Arial"/>
        </w:rPr>
        <w:t xml:space="preserve">Fecha de recepción: </w:t>
      </w:r>
    </w:p>
    <w:p w:rsidR="007513C3" w:rsidRDefault="007513C3" w:rsidP="00292E6C">
      <w:pPr>
        <w:spacing w:after="120"/>
        <w:jc w:val="both"/>
        <w:rPr>
          <w:rFonts w:ascii="Verdana" w:hAnsi="Verdana" w:cs="Arial"/>
        </w:rPr>
      </w:pPr>
      <w:r w:rsidRPr="00DD7389">
        <w:rPr>
          <w:rFonts w:ascii="Verdana" w:hAnsi="Verdana" w:cs="Arial"/>
        </w:rPr>
        <w:t xml:space="preserve">Fecha de aceptación: </w:t>
      </w:r>
    </w:p>
    <w:p w:rsidR="00292E6C" w:rsidRPr="00DD7389" w:rsidRDefault="00292E6C" w:rsidP="00292E6C">
      <w:pPr>
        <w:spacing w:after="120"/>
        <w:jc w:val="both"/>
        <w:rPr>
          <w:rFonts w:ascii="Verdana" w:hAnsi="Verdana" w:cs="Arial"/>
        </w:rPr>
      </w:pPr>
    </w:p>
    <w:p w:rsidR="007513C3" w:rsidRDefault="007513C3" w:rsidP="00292E6C">
      <w:pPr>
        <w:spacing w:after="120"/>
        <w:jc w:val="both"/>
        <w:rPr>
          <w:rFonts w:ascii="Verdana" w:hAnsi="Verdana" w:cs="Arial"/>
        </w:rPr>
      </w:pPr>
      <w:r w:rsidRPr="00DD7389">
        <w:rPr>
          <w:rFonts w:ascii="Verdana" w:hAnsi="Verdana" w:cs="Arial"/>
        </w:rPr>
        <w:t xml:space="preserve">RESUMEN </w:t>
      </w:r>
    </w:p>
    <w:p w:rsidR="00552E79" w:rsidRDefault="003752FA" w:rsidP="00D95539">
      <w:pPr>
        <w:spacing w:after="120"/>
        <w:jc w:val="both"/>
        <w:rPr>
          <w:rFonts w:ascii="Verdana" w:eastAsia="Courier New" w:hAnsi="Verdana"/>
        </w:rPr>
      </w:pPr>
      <w:r w:rsidRPr="003752FA">
        <w:rPr>
          <w:rFonts w:ascii="Verdana" w:hAnsi="Verdana"/>
        </w:rPr>
        <w:t xml:space="preserve">En el </w:t>
      </w:r>
      <w:r w:rsidR="003839D1">
        <w:rPr>
          <w:rFonts w:ascii="Verdana" w:hAnsi="Verdana"/>
        </w:rPr>
        <w:t>ámbito educativo han surgido</w:t>
      </w:r>
      <w:r w:rsidRPr="003752FA">
        <w:rPr>
          <w:rFonts w:ascii="Verdana" w:hAnsi="Verdana"/>
        </w:rPr>
        <w:t xml:space="preserve"> diversidad de herramientas acordes con la sociedad de la información y la comunicación y las habilidades presentes de los niños actuales, lo cual facilita el empleo de herramientas como el juego dentro de la planificación educativa en el aula, para que los aprendizajes </w:t>
      </w:r>
      <w:r w:rsidR="003839D1">
        <w:rPr>
          <w:rFonts w:ascii="Verdana" w:hAnsi="Verdana"/>
        </w:rPr>
        <w:t xml:space="preserve">sean significativos, es decir </w:t>
      </w:r>
      <w:r w:rsidRPr="003752FA">
        <w:rPr>
          <w:rFonts w:ascii="Verdana" w:hAnsi="Verdana"/>
        </w:rPr>
        <w:t xml:space="preserve">promuevan el desarrollo cognitivo de los estudiantes. En este contexto se desarrolla la presente investigación orientada por el objetivo de </w:t>
      </w:r>
      <w:r w:rsidRPr="003752FA">
        <w:rPr>
          <w:rFonts w:ascii="Verdana" w:eastAsia="Arial" w:hAnsi="Verdana"/>
          <w:noProof/>
          <w:lang w:eastAsia="en-US"/>
        </w:rPr>
        <w:t>diseñar estrategias didácticas fundamentadas en la gamificación para el desarrollo de las habilidades cognitivas en estudiantes del nivel de preparatoria de la Escuela de Educación Básica “Babahoyo”.</w:t>
      </w:r>
      <w:r w:rsidRPr="003752FA">
        <w:rPr>
          <w:rFonts w:ascii="Verdana" w:eastAsia="Arial" w:hAnsi="Verdana"/>
          <w:noProof/>
        </w:rPr>
        <w:t xml:space="preserve"> En función de ello se empleó un enfoque mixto alineado</w:t>
      </w:r>
      <w:r w:rsidRPr="003752FA">
        <w:rPr>
          <w:rFonts w:ascii="Verdana" w:eastAsia="Arial" w:hAnsi="Verdana"/>
          <w:noProof/>
          <w:lang w:eastAsia="en-US"/>
        </w:rPr>
        <w:t xml:space="preserve"> con un tipo de investigación des</w:t>
      </w:r>
      <w:r w:rsidR="003839D1">
        <w:rPr>
          <w:rFonts w:ascii="Verdana" w:eastAsia="Arial" w:hAnsi="Verdana"/>
          <w:noProof/>
          <w:lang w:eastAsia="en-US"/>
        </w:rPr>
        <w:t>criptiva explicativa</w:t>
      </w:r>
      <w:r w:rsidRPr="003752FA">
        <w:rPr>
          <w:rFonts w:ascii="Verdana" w:eastAsia="Arial" w:hAnsi="Verdana"/>
          <w:noProof/>
        </w:rPr>
        <w:t>.</w:t>
      </w:r>
      <w:r w:rsidR="003839D1">
        <w:rPr>
          <w:rFonts w:ascii="Verdana" w:eastAsia="Arial" w:hAnsi="Verdana"/>
          <w:noProof/>
        </w:rPr>
        <w:t xml:space="preserve"> Para lo cual se desarrolló</w:t>
      </w:r>
      <w:r w:rsidRPr="003752FA">
        <w:rPr>
          <w:rFonts w:ascii="Verdana" w:eastAsia="Arial" w:hAnsi="Verdana"/>
          <w:noProof/>
        </w:rPr>
        <w:t xml:space="preserve"> un muestreo no probabilistico por conveniencia</w:t>
      </w:r>
      <w:r w:rsidR="003839D1">
        <w:rPr>
          <w:rFonts w:ascii="Verdana" w:eastAsia="Arial" w:hAnsi="Verdana"/>
          <w:noProof/>
        </w:rPr>
        <w:t>, a partir de una población de 115 estudiantes</w:t>
      </w:r>
      <w:r w:rsidRPr="003752FA">
        <w:rPr>
          <w:rFonts w:ascii="Verdana" w:eastAsia="Arial" w:hAnsi="Verdana"/>
          <w:noProof/>
        </w:rPr>
        <w:t xml:space="preserve"> </w:t>
      </w:r>
      <w:r w:rsidR="003839D1">
        <w:rPr>
          <w:rFonts w:ascii="Verdana" w:eastAsia="Arial" w:hAnsi="Verdana"/>
          <w:noProof/>
        </w:rPr>
        <w:t>y se trabajó con</w:t>
      </w:r>
      <w:r w:rsidRPr="003752FA">
        <w:rPr>
          <w:rFonts w:ascii="Verdana" w:eastAsia="Arial" w:hAnsi="Verdana"/>
          <w:noProof/>
        </w:rPr>
        <w:t xml:space="preserve"> una muestra </w:t>
      </w:r>
      <w:r w:rsidR="003839D1">
        <w:rPr>
          <w:rFonts w:ascii="Verdana" w:hAnsi="Verdana"/>
          <w:color w:val="000000"/>
          <w:lang w:eastAsia="en-US"/>
        </w:rPr>
        <w:t>de 24</w:t>
      </w:r>
      <w:r w:rsidRPr="003752FA">
        <w:rPr>
          <w:rFonts w:ascii="Verdana" w:hAnsi="Verdana"/>
          <w:color w:val="000000"/>
          <w:lang w:eastAsia="en-US"/>
        </w:rPr>
        <w:t>, 7 docentes y tres directivos.</w:t>
      </w:r>
      <w:r w:rsidRPr="003752FA">
        <w:rPr>
          <w:rFonts w:ascii="Verdana" w:hAnsi="Verdana"/>
          <w:color w:val="000000"/>
        </w:rPr>
        <w:t xml:space="preserve"> Se utilizó la t</w:t>
      </w:r>
      <w:r w:rsidR="003839D1">
        <w:rPr>
          <w:rFonts w:ascii="Verdana" w:hAnsi="Verdana"/>
          <w:color w:val="000000"/>
        </w:rPr>
        <w:t>écnica de la entrevista y empleó</w:t>
      </w:r>
      <w:r w:rsidRPr="003752FA">
        <w:rPr>
          <w:rFonts w:ascii="Verdana" w:hAnsi="Verdana"/>
          <w:color w:val="000000"/>
        </w:rPr>
        <w:t xml:space="preserve"> </w:t>
      </w:r>
      <w:r w:rsidR="003839D1">
        <w:rPr>
          <w:rFonts w:ascii="Verdana" w:hAnsi="Verdana"/>
          <w:color w:val="000000"/>
        </w:rPr>
        <w:t>instrumento</w:t>
      </w:r>
      <w:r w:rsidRPr="003752FA">
        <w:rPr>
          <w:rFonts w:ascii="Verdana" w:hAnsi="Verdana"/>
          <w:color w:val="000000"/>
        </w:rPr>
        <w:t xml:space="preserve"> </w:t>
      </w:r>
      <w:r w:rsidRPr="003752FA">
        <w:rPr>
          <w:rFonts w:ascii="Verdana" w:hAnsi="Verdana"/>
          <w:color w:val="000000"/>
          <w:lang w:eastAsia="en-US"/>
        </w:rPr>
        <w:t>el Inventario de desarrollo Battelle</w:t>
      </w:r>
      <w:sdt>
        <w:sdtPr>
          <w:rPr>
            <w:rFonts w:ascii="Verdana" w:hAnsi="Verdana"/>
            <w:color w:val="000000"/>
            <w:lang w:eastAsia="en-US"/>
          </w:rPr>
          <w:id w:val="218403363"/>
          <w:citation/>
        </w:sdtPr>
        <w:sdtEndPr/>
        <w:sdtContent>
          <w:r w:rsidRPr="003752FA">
            <w:rPr>
              <w:rFonts w:ascii="Verdana" w:hAnsi="Verdana"/>
              <w:color w:val="000000"/>
              <w:lang w:eastAsia="en-US"/>
            </w:rPr>
            <w:fldChar w:fldCharType="begin"/>
          </w:r>
          <w:r w:rsidRPr="003752FA">
            <w:rPr>
              <w:rFonts w:ascii="Verdana" w:hAnsi="Verdana"/>
              <w:color w:val="000000"/>
              <w:lang w:eastAsia="en-US"/>
            </w:rPr>
            <w:instrText xml:space="preserve">CITATION New \n  \t  \l 3082 </w:instrText>
          </w:r>
          <w:r w:rsidRPr="003752FA">
            <w:rPr>
              <w:rFonts w:ascii="Verdana" w:hAnsi="Verdana"/>
              <w:color w:val="000000"/>
              <w:lang w:eastAsia="en-US"/>
            </w:rPr>
            <w:fldChar w:fldCharType="separate"/>
          </w:r>
          <w:r w:rsidRPr="003752FA">
            <w:rPr>
              <w:rFonts w:ascii="Verdana" w:hAnsi="Verdana"/>
              <w:noProof/>
              <w:color w:val="000000"/>
              <w:lang w:eastAsia="en-US"/>
            </w:rPr>
            <w:t xml:space="preserve"> (2011)</w:t>
          </w:r>
          <w:r w:rsidRPr="003752FA">
            <w:rPr>
              <w:rFonts w:ascii="Verdana" w:hAnsi="Verdana"/>
              <w:color w:val="000000"/>
              <w:lang w:eastAsia="en-US"/>
            </w:rPr>
            <w:fldChar w:fldCharType="end"/>
          </w:r>
        </w:sdtContent>
      </w:sdt>
      <w:r w:rsidRPr="003752FA">
        <w:rPr>
          <w:rFonts w:ascii="Verdana" w:hAnsi="Verdana"/>
          <w:color w:val="000000"/>
        </w:rPr>
        <w:t xml:space="preserve">. </w:t>
      </w:r>
    </w:p>
    <w:p w:rsidR="00292E6C" w:rsidRDefault="00292E6C" w:rsidP="00292E6C">
      <w:pPr>
        <w:autoSpaceDE w:val="0"/>
        <w:autoSpaceDN w:val="0"/>
        <w:adjustRightInd w:val="0"/>
        <w:spacing w:after="120"/>
        <w:jc w:val="both"/>
        <w:rPr>
          <w:color w:val="000000"/>
          <w:sz w:val="20"/>
          <w:szCs w:val="20"/>
          <w:vertAlign w:val="superscript"/>
        </w:rPr>
      </w:pPr>
    </w:p>
    <w:p w:rsidR="009748C0" w:rsidRDefault="009748C0" w:rsidP="00292E6C">
      <w:pPr>
        <w:autoSpaceDE w:val="0"/>
        <w:autoSpaceDN w:val="0"/>
        <w:adjustRightInd w:val="0"/>
        <w:spacing w:after="120"/>
        <w:jc w:val="both"/>
        <w:rPr>
          <w:color w:val="000000"/>
          <w:sz w:val="20"/>
          <w:szCs w:val="20"/>
          <w:vertAlign w:val="superscript"/>
        </w:rPr>
      </w:pPr>
      <w:r>
        <w:rPr>
          <w:color w:val="000000"/>
          <w:sz w:val="20"/>
          <w:szCs w:val="20"/>
          <w:vertAlign w:val="superscript"/>
        </w:rPr>
        <w:t>____________</w:t>
      </w:r>
      <w:r w:rsidR="00D95539">
        <w:rPr>
          <w:color w:val="000000"/>
          <w:sz w:val="20"/>
          <w:szCs w:val="20"/>
          <w:vertAlign w:val="superscript"/>
        </w:rPr>
        <w:t>______________________________</w:t>
      </w:r>
    </w:p>
    <w:p w:rsidR="00BB156A" w:rsidRPr="00BB156A" w:rsidRDefault="00BB156A" w:rsidP="00292E6C">
      <w:pPr>
        <w:autoSpaceDE w:val="0"/>
        <w:autoSpaceDN w:val="0"/>
        <w:adjustRightInd w:val="0"/>
        <w:spacing w:after="120"/>
        <w:jc w:val="both"/>
        <w:rPr>
          <w:sz w:val="20"/>
          <w:szCs w:val="20"/>
        </w:rPr>
      </w:pPr>
      <w:r w:rsidRPr="00BB156A">
        <w:rPr>
          <w:color w:val="000000"/>
          <w:sz w:val="20"/>
          <w:szCs w:val="20"/>
          <w:vertAlign w:val="superscript"/>
        </w:rPr>
        <w:t>1</w:t>
      </w:r>
      <w:r w:rsidRPr="00BB156A">
        <w:rPr>
          <w:sz w:val="20"/>
          <w:szCs w:val="20"/>
        </w:rPr>
        <w:t xml:space="preserve"> </w:t>
      </w:r>
      <w:r>
        <w:rPr>
          <w:color w:val="000000"/>
          <w:sz w:val="20"/>
          <w:szCs w:val="20"/>
        </w:rPr>
        <w:t>Ingeniera en Sistema Informáticos</w:t>
      </w:r>
      <w:r w:rsidRPr="00BB156A">
        <w:rPr>
          <w:color w:val="000000"/>
          <w:sz w:val="20"/>
          <w:szCs w:val="20"/>
        </w:rPr>
        <w:t>. Maestrante en el Instituto de Postgrado U.T.M Maestría en</w:t>
      </w:r>
      <w:r>
        <w:rPr>
          <w:color w:val="000000"/>
          <w:sz w:val="20"/>
          <w:szCs w:val="20"/>
        </w:rPr>
        <w:t xml:space="preserve"> </w:t>
      </w:r>
      <w:r w:rsidRPr="00BB156A">
        <w:rPr>
          <w:color w:val="000000"/>
          <w:sz w:val="20"/>
          <w:szCs w:val="20"/>
        </w:rPr>
        <w:t xml:space="preserve">Investigación mención </w:t>
      </w:r>
      <w:r>
        <w:rPr>
          <w:color w:val="000000"/>
          <w:sz w:val="20"/>
          <w:szCs w:val="20"/>
        </w:rPr>
        <w:t>Pedagogía e Innovación Educativa</w:t>
      </w:r>
      <w:r w:rsidRPr="00BB156A">
        <w:rPr>
          <w:color w:val="000000"/>
          <w:sz w:val="20"/>
          <w:szCs w:val="20"/>
        </w:rPr>
        <w:t xml:space="preserve">. </w:t>
      </w:r>
      <w:r w:rsidR="004817CD">
        <w:rPr>
          <w:color w:val="0000FF"/>
          <w:sz w:val="20"/>
          <w:szCs w:val="20"/>
        </w:rPr>
        <w:t>ily03122005</w:t>
      </w:r>
      <w:r w:rsidRPr="00BB156A">
        <w:rPr>
          <w:color w:val="0000FF"/>
          <w:sz w:val="20"/>
          <w:szCs w:val="20"/>
        </w:rPr>
        <w:t>@hotmail.com</w:t>
      </w:r>
      <w:r w:rsidRPr="00BB156A">
        <w:rPr>
          <w:color w:val="000000"/>
          <w:sz w:val="20"/>
          <w:szCs w:val="20"/>
        </w:rPr>
        <w:t>.</w:t>
      </w:r>
      <w:r w:rsidR="004817CD" w:rsidRPr="004817CD">
        <w:rPr>
          <w:color w:val="0000FF"/>
          <w:sz w:val="20"/>
          <w:szCs w:val="20"/>
        </w:rPr>
        <w:t xml:space="preserve"> </w:t>
      </w:r>
      <w:r w:rsidR="004817CD">
        <w:rPr>
          <w:color w:val="0000FF"/>
          <w:sz w:val="20"/>
          <w:szCs w:val="20"/>
        </w:rPr>
        <w:t>ily03122005</w:t>
      </w:r>
      <w:r w:rsidR="004817CD" w:rsidRPr="00BB156A">
        <w:rPr>
          <w:color w:val="0000FF"/>
          <w:sz w:val="20"/>
          <w:szCs w:val="20"/>
        </w:rPr>
        <w:t>@</w:t>
      </w:r>
      <w:r w:rsidR="004817CD">
        <w:rPr>
          <w:color w:val="0000FF"/>
          <w:sz w:val="20"/>
          <w:szCs w:val="20"/>
        </w:rPr>
        <w:t>g</w:t>
      </w:r>
      <w:r w:rsidR="004817CD" w:rsidRPr="00BB156A">
        <w:rPr>
          <w:color w:val="0000FF"/>
          <w:sz w:val="20"/>
          <w:szCs w:val="20"/>
        </w:rPr>
        <w:t>mail.com</w:t>
      </w:r>
      <w:r w:rsidR="004817CD">
        <w:rPr>
          <w:color w:val="0000FF"/>
          <w:sz w:val="20"/>
          <w:szCs w:val="20"/>
        </w:rPr>
        <w:t>.</w:t>
      </w:r>
      <w:r w:rsidRPr="00BB156A">
        <w:rPr>
          <w:color w:val="000000"/>
          <w:sz w:val="20"/>
          <w:szCs w:val="20"/>
        </w:rPr>
        <w:t xml:space="preserve"> </w:t>
      </w:r>
      <w:hyperlink r:id="rId9" w:history="1">
        <w:r w:rsidR="004817CD" w:rsidRPr="00063236">
          <w:rPr>
            <w:rStyle w:val="Hipervnculo"/>
            <w:sz w:val="20"/>
            <w:szCs w:val="20"/>
          </w:rPr>
          <w:t>ivelez4079@utm.edu.ec.</w:t>
        </w:r>
      </w:hyperlink>
      <w:r w:rsidRPr="00BB156A">
        <w:rPr>
          <w:color w:val="0000FF"/>
          <w:sz w:val="20"/>
          <w:szCs w:val="20"/>
        </w:rPr>
        <w:t xml:space="preserve"> </w:t>
      </w:r>
      <w:r w:rsidRPr="00BB156A">
        <w:rPr>
          <w:color w:val="000000"/>
          <w:sz w:val="20"/>
          <w:szCs w:val="20"/>
        </w:rPr>
        <w:t xml:space="preserve">código ORCID </w:t>
      </w:r>
      <w:hyperlink r:id="rId10" w:history="1">
        <w:r w:rsidR="006E42F9" w:rsidRPr="008B180C">
          <w:rPr>
            <w:rStyle w:val="Hipervnculo"/>
            <w:sz w:val="20"/>
            <w:szCs w:val="20"/>
          </w:rPr>
          <w:t>https://orcid.org/0000-0002-8721-5543</w:t>
        </w:r>
      </w:hyperlink>
      <w:r w:rsidRPr="00BB156A">
        <w:rPr>
          <w:color w:val="000000"/>
          <w:sz w:val="20"/>
          <w:szCs w:val="20"/>
        </w:rPr>
        <w:t xml:space="preserve">, Manabí, Ecuador. </w:t>
      </w:r>
    </w:p>
    <w:p w:rsidR="00BB156A" w:rsidRPr="00292E6C" w:rsidRDefault="00BB156A" w:rsidP="00D95539">
      <w:pPr>
        <w:autoSpaceDE w:val="0"/>
        <w:autoSpaceDN w:val="0"/>
        <w:adjustRightInd w:val="0"/>
        <w:spacing w:after="120"/>
        <w:jc w:val="both"/>
        <w:rPr>
          <w:color w:val="000000"/>
          <w:sz w:val="20"/>
          <w:szCs w:val="20"/>
        </w:rPr>
      </w:pPr>
      <w:r w:rsidRPr="00BB156A">
        <w:rPr>
          <w:color w:val="000000"/>
          <w:sz w:val="20"/>
          <w:szCs w:val="20"/>
        </w:rPr>
        <w:t xml:space="preserve"> </w:t>
      </w:r>
      <w:r w:rsidRPr="00292E6C">
        <w:rPr>
          <w:color w:val="000000"/>
          <w:sz w:val="20"/>
          <w:szCs w:val="20"/>
          <w:vertAlign w:val="superscript"/>
        </w:rPr>
        <w:t xml:space="preserve">2 </w:t>
      </w:r>
      <w:r w:rsidRPr="00BB156A">
        <w:rPr>
          <w:color w:val="000000"/>
          <w:sz w:val="20"/>
          <w:szCs w:val="20"/>
        </w:rPr>
        <w:t>Doctor en Ciencias Pedagógicas (</w:t>
      </w:r>
      <w:proofErr w:type="spellStart"/>
      <w:r w:rsidRPr="00BB156A">
        <w:rPr>
          <w:color w:val="000000"/>
          <w:sz w:val="20"/>
          <w:szCs w:val="20"/>
        </w:rPr>
        <w:t>Phd</w:t>
      </w:r>
      <w:proofErr w:type="spellEnd"/>
      <w:r w:rsidRPr="00BB156A">
        <w:rPr>
          <w:color w:val="000000"/>
          <w:sz w:val="20"/>
          <w:szCs w:val="20"/>
        </w:rPr>
        <w:t>). Posdoctorado en la Universidad Federal de Minas Gerais, Brasil en</w:t>
      </w:r>
      <w:r>
        <w:rPr>
          <w:color w:val="000000"/>
          <w:sz w:val="20"/>
          <w:szCs w:val="20"/>
        </w:rPr>
        <w:t xml:space="preserve"> </w:t>
      </w:r>
      <w:r w:rsidRPr="00BB156A">
        <w:rPr>
          <w:color w:val="000000"/>
          <w:sz w:val="20"/>
          <w:szCs w:val="20"/>
        </w:rPr>
        <w:t>Formación de Competencias en la Educación Superior. Licenciado en Educación. Master en Pedagogía Profesional.</w:t>
      </w:r>
      <w:r w:rsidR="00292E6C">
        <w:rPr>
          <w:color w:val="000000"/>
          <w:sz w:val="20"/>
          <w:szCs w:val="20"/>
        </w:rPr>
        <w:t xml:space="preserve"> </w:t>
      </w:r>
      <w:r w:rsidRPr="00BB156A">
        <w:rPr>
          <w:color w:val="000000"/>
          <w:sz w:val="20"/>
          <w:szCs w:val="20"/>
        </w:rPr>
        <w:t xml:space="preserve">Profesor titular No 1. Tiempo completo y asesor en gestión curricular en la Universidad Técnica de Manabí, Ecuador. Director del Grupo y Proyecto de investigación PROINNOEDUCA. </w:t>
      </w:r>
      <w:hyperlink r:id="rId11" w:history="1">
        <w:r w:rsidRPr="00BB156A">
          <w:rPr>
            <w:rStyle w:val="Hipervnculo"/>
            <w:sz w:val="20"/>
            <w:szCs w:val="20"/>
          </w:rPr>
          <w:t>https://orcid.org/0000-0001-80989661</w:t>
        </w:r>
      </w:hyperlink>
      <w:r w:rsidRPr="00BB156A">
        <w:rPr>
          <w:color w:val="000000"/>
          <w:sz w:val="20"/>
          <w:szCs w:val="20"/>
        </w:rPr>
        <w:t xml:space="preserve">, </w:t>
      </w:r>
      <w:hyperlink r:id="rId12" w:history="1">
        <w:r w:rsidRPr="00BB156A">
          <w:rPr>
            <w:rStyle w:val="Hipervnculo"/>
            <w:sz w:val="20"/>
            <w:szCs w:val="20"/>
          </w:rPr>
          <w:t>https://scholar.google.es/citations?hl=es&amp;pli=1&amp;</w:t>
        </w:r>
      </w:hyperlink>
      <w:r w:rsidRPr="00BB156A">
        <w:rPr>
          <w:color w:val="000000"/>
          <w:sz w:val="20"/>
          <w:szCs w:val="20"/>
        </w:rPr>
        <w:t>,</w:t>
      </w:r>
      <w:r w:rsidR="007F2D06">
        <w:rPr>
          <w:color w:val="000000"/>
          <w:sz w:val="20"/>
          <w:szCs w:val="20"/>
        </w:rPr>
        <w:t xml:space="preserve"> </w:t>
      </w:r>
      <w:bookmarkStart w:id="0" w:name="_GoBack"/>
      <w:bookmarkEnd w:id="0"/>
      <w:r w:rsidR="00AB0852">
        <w:fldChar w:fldCharType="begin"/>
      </w:r>
      <w:r w:rsidR="00AB0852">
        <w:instrText xml:space="preserve"> HYPERLINK "https://www.researchgate.net/profile/Rafael_Tejeda_Diaz" </w:instrText>
      </w:r>
      <w:r w:rsidR="00AB0852">
        <w:fldChar w:fldCharType="separate"/>
      </w:r>
      <w:r w:rsidRPr="00BB156A">
        <w:rPr>
          <w:rStyle w:val="Hipervnculo"/>
          <w:sz w:val="20"/>
          <w:szCs w:val="20"/>
        </w:rPr>
        <w:t>https://www.researchgate.net/profile/Rafael_Tejeda_Diaz</w:t>
      </w:r>
      <w:r w:rsidR="00AB0852">
        <w:rPr>
          <w:rStyle w:val="Hipervnculo"/>
          <w:sz w:val="20"/>
          <w:szCs w:val="20"/>
        </w:rPr>
        <w:fldChar w:fldCharType="end"/>
      </w:r>
      <w:r w:rsidRPr="00BB156A">
        <w:rPr>
          <w:color w:val="000000"/>
          <w:sz w:val="20"/>
          <w:szCs w:val="20"/>
        </w:rPr>
        <w:t xml:space="preserve">, </w:t>
      </w:r>
      <w:hyperlink r:id="rId13" w:history="1">
        <w:r w:rsidRPr="00BB156A">
          <w:rPr>
            <w:rStyle w:val="Hipervnculo"/>
            <w:sz w:val="20"/>
            <w:szCs w:val="20"/>
          </w:rPr>
          <w:t>rtejeda@utm.edu.ec</w:t>
        </w:r>
      </w:hyperlink>
      <w:r w:rsidRPr="00BB156A">
        <w:rPr>
          <w:color w:val="000000"/>
          <w:sz w:val="20"/>
          <w:szCs w:val="20"/>
        </w:rPr>
        <w:t xml:space="preserve">, </w:t>
      </w:r>
      <w:hyperlink r:id="rId14" w:history="1">
        <w:r w:rsidRPr="00BB156A">
          <w:rPr>
            <w:rStyle w:val="Hipervnculo"/>
            <w:sz w:val="20"/>
            <w:szCs w:val="20"/>
          </w:rPr>
          <w:t>rtejeda2009@yahoo.es</w:t>
        </w:r>
      </w:hyperlink>
      <w:r w:rsidRPr="00BB156A">
        <w:rPr>
          <w:color w:val="000000"/>
          <w:sz w:val="20"/>
          <w:szCs w:val="20"/>
        </w:rPr>
        <w:t xml:space="preserve">, </w:t>
      </w:r>
      <w:r w:rsidRPr="00BB156A">
        <w:rPr>
          <w:color w:val="0000FF"/>
          <w:sz w:val="20"/>
          <w:szCs w:val="20"/>
        </w:rPr>
        <w:t>rtejedadiaz@gmail.com.</w:t>
      </w:r>
    </w:p>
    <w:p w:rsidR="00D95539" w:rsidRDefault="00872175" w:rsidP="00D95539">
      <w:pPr>
        <w:spacing w:after="120"/>
        <w:jc w:val="both"/>
        <w:rPr>
          <w:rFonts w:ascii="Verdana" w:hAnsi="Verdana"/>
          <w:color w:val="000000"/>
        </w:rPr>
      </w:pPr>
      <w:r w:rsidRPr="003752FA">
        <w:rPr>
          <w:rFonts w:ascii="Verdana" w:hAnsi="Verdana"/>
          <w:color w:val="000000"/>
        </w:rPr>
        <w:lastRenderedPageBreak/>
        <w:t xml:space="preserve">El análisis comprendió herramientas cualitativas y cuantitativas, en las </w:t>
      </w:r>
      <w:r w:rsidR="00D95539" w:rsidRPr="003752FA">
        <w:rPr>
          <w:rFonts w:ascii="Verdana" w:hAnsi="Verdana"/>
          <w:color w:val="000000"/>
        </w:rPr>
        <w:t>primeras se empleó el análisis documental, establecimiento de redes semánticas y triangulación de resultados y en la segunda presentación de tablas de frecuencias. Los resultados indicaron que directivos y docentes poseen conocimientos sobre la gamificación, pero existe un desfase entre estos y la práctica pedagógica. Mientras que en los estudiantes el desarrollo del área cognitiva no corresponde con lo esperado para la edad. Al respecto se sugiere el desarrollo de actividades que mejoren su desempeño cognitivo.</w:t>
      </w:r>
    </w:p>
    <w:p w:rsidR="00D95539" w:rsidRDefault="00D95539" w:rsidP="00D95539">
      <w:pPr>
        <w:tabs>
          <w:tab w:val="left" w:pos="2640"/>
        </w:tabs>
        <w:spacing w:after="120"/>
        <w:jc w:val="both"/>
        <w:rPr>
          <w:rFonts w:ascii="Verdana" w:eastAsia="Courier New" w:hAnsi="Verdana"/>
        </w:rPr>
      </w:pPr>
      <w:r w:rsidRPr="00DD7389">
        <w:rPr>
          <w:rFonts w:ascii="Verdana" w:hAnsi="Verdana" w:cs="Arial"/>
        </w:rPr>
        <w:t xml:space="preserve">PALABRAS CLAVES: </w:t>
      </w:r>
      <w:r w:rsidRPr="004D67C9">
        <w:rPr>
          <w:rFonts w:ascii="Verdana" w:eastAsia="Courier New" w:hAnsi="Verdana"/>
        </w:rPr>
        <w:t>Gamificación</w:t>
      </w:r>
      <w:r>
        <w:rPr>
          <w:rFonts w:ascii="Verdana" w:eastAsia="Courier New" w:hAnsi="Verdana"/>
        </w:rPr>
        <w:t>; habilidades cognitivas;</w:t>
      </w:r>
      <w:r w:rsidRPr="004D67C9">
        <w:rPr>
          <w:rFonts w:ascii="Verdana" w:eastAsia="Courier New" w:hAnsi="Verdana"/>
        </w:rPr>
        <w:t xml:space="preserve"> estudiantes de preparatoria</w:t>
      </w:r>
      <w:r>
        <w:rPr>
          <w:rFonts w:ascii="Verdana" w:eastAsia="Courier New" w:hAnsi="Verdana"/>
        </w:rPr>
        <w:t>.</w:t>
      </w:r>
    </w:p>
    <w:p w:rsidR="004F5080" w:rsidRPr="004D67C9" w:rsidRDefault="004F5080" w:rsidP="00292E6C">
      <w:pPr>
        <w:spacing w:after="120"/>
        <w:jc w:val="both"/>
        <w:rPr>
          <w:rFonts w:ascii="Verdana" w:hAnsi="Verdana" w:cs="Arial"/>
        </w:rPr>
      </w:pPr>
    </w:p>
    <w:p w:rsidR="007513C3" w:rsidRPr="00DD7389" w:rsidRDefault="00A36799" w:rsidP="00292E6C">
      <w:pPr>
        <w:spacing w:after="120"/>
        <w:jc w:val="both"/>
        <w:rPr>
          <w:rFonts w:ascii="Verdana" w:hAnsi="Verdana" w:cs="Arial"/>
          <w:b/>
          <w:lang w:val="en-US"/>
        </w:rPr>
      </w:pPr>
      <w:r w:rsidRPr="00DD7389">
        <w:rPr>
          <w:rFonts w:ascii="Verdana" w:hAnsi="Verdana" w:cs="Arial"/>
          <w:b/>
          <w:lang w:val="en-US"/>
        </w:rPr>
        <w:t>GAMIFICATION STRATEGY TO DEVELOP COGNITIVE SKILLS IN SECONDARY EDUCATION STUDENTS, BABAHOYO BASIC SCHOOL.</w:t>
      </w:r>
    </w:p>
    <w:p w:rsidR="009748C0" w:rsidRDefault="009748C0" w:rsidP="00292E6C">
      <w:pPr>
        <w:spacing w:after="120"/>
        <w:jc w:val="both"/>
        <w:rPr>
          <w:rFonts w:ascii="Verdana" w:hAnsi="Verdana" w:cs="Arial"/>
          <w:lang w:val="en-US"/>
        </w:rPr>
      </w:pPr>
    </w:p>
    <w:p w:rsidR="007665AD" w:rsidRDefault="007513C3" w:rsidP="008A194E">
      <w:pPr>
        <w:tabs>
          <w:tab w:val="left" w:pos="5385"/>
        </w:tabs>
        <w:spacing w:after="120"/>
        <w:jc w:val="both"/>
        <w:rPr>
          <w:rFonts w:ascii="Verdana" w:hAnsi="Verdana" w:cs="Arial"/>
          <w:lang w:val="en-US"/>
        </w:rPr>
      </w:pPr>
      <w:r w:rsidRPr="00A45C46">
        <w:rPr>
          <w:rFonts w:ascii="Verdana" w:hAnsi="Verdana" w:cs="Arial"/>
          <w:lang w:val="en-US"/>
        </w:rPr>
        <w:t xml:space="preserve">ABSTRACT </w:t>
      </w:r>
      <w:r w:rsidR="008A194E">
        <w:rPr>
          <w:rFonts w:ascii="Verdana" w:hAnsi="Verdana" w:cs="Arial"/>
          <w:lang w:val="en-US"/>
        </w:rPr>
        <w:tab/>
      </w:r>
    </w:p>
    <w:p w:rsidR="00792C6B" w:rsidRDefault="00792C6B" w:rsidP="00292E6C">
      <w:pPr>
        <w:spacing w:after="120"/>
        <w:jc w:val="both"/>
        <w:rPr>
          <w:rFonts w:ascii="Verdana" w:hAnsi="Verdana" w:cs="Arial"/>
          <w:lang w:val="en-US"/>
        </w:rPr>
      </w:pPr>
      <w:r w:rsidRPr="00792C6B">
        <w:rPr>
          <w:rFonts w:ascii="Verdana" w:hAnsi="Verdana" w:cs="Arial"/>
          <w:lang w:val="en-US"/>
        </w:rPr>
        <w:t>In the educational field, a variety of tools have emerged in accordance with the information and communication society and the present skills of today's children, which facilitates the use of tools such as games within educational planning in the classroom, so that learning are significant, that is, they promote the cognitive development of students. In this context, the present research is developed, oriented by the objective of designing fundamental didactic strategies in gamification for the development of cognitive abilities in high school students of the "</w:t>
      </w:r>
      <w:proofErr w:type="spellStart"/>
      <w:r w:rsidRPr="00792C6B">
        <w:rPr>
          <w:rFonts w:ascii="Verdana" w:hAnsi="Verdana" w:cs="Arial"/>
          <w:lang w:val="en-US"/>
        </w:rPr>
        <w:t>Babahoyo</w:t>
      </w:r>
      <w:proofErr w:type="spellEnd"/>
      <w:r w:rsidRPr="00792C6B">
        <w:rPr>
          <w:rFonts w:ascii="Verdana" w:hAnsi="Verdana" w:cs="Arial"/>
          <w:lang w:val="en-US"/>
        </w:rPr>
        <w:t>" Basic Education School. Based on this, a mixed approach aligned with a type of explanatory descriptive research was used. For which a non-probabilistic demonstration was demonstrated for convenience, from a population of 115 students and we worked with a sample of 24, 7 teachers and three managers. The interview technique was acquired and the Battelle Development Inventory (2011) instrument was used. The analysis included qualitative and quantitative tools, in the first ones, documentary analysis, establishment of semantic networks and triangulation of results were used, and in the second presentation of frequency tables. The results indicated that managers and teachers have knowledge about gamification, but there is a gap between them and the pedagogical practice. While in the students the development of the cognitive area does not correspond to what is expected for the age. In this regard, the development of activities that improve their cognitive performance is suggested.</w:t>
      </w:r>
    </w:p>
    <w:p w:rsidR="007513C3" w:rsidRDefault="007513C3" w:rsidP="00292E6C">
      <w:pPr>
        <w:spacing w:after="120"/>
        <w:jc w:val="both"/>
        <w:rPr>
          <w:rFonts w:ascii="Verdana" w:hAnsi="Verdana" w:cs="Arial"/>
          <w:lang w:val="en-US"/>
        </w:rPr>
      </w:pPr>
      <w:r w:rsidRPr="007665AD">
        <w:rPr>
          <w:rFonts w:ascii="Verdana" w:hAnsi="Verdana" w:cs="Arial"/>
          <w:lang w:val="en-US"/>
        </w:rPr>
        <w:t xml:space="preserve">KEYWORDS: </w:t>
      </w:r>
      <w:r w:rsidR="007665AD" w:rsidRPr="007665AD">
        <w:rPr>
          <w:rFonts w:ascii="Verdana" w:hAnsi="Verdana" w:cs="Arial"/>
          <w:lang w:val="en-US"/>
        </w:rPr>
        <w:t>Gamification</w:t>
      </w:r>
      <w:r w:rsidR="005E0EAB">
        <w:rPr>
          <w:rFonts w:ascii="Verdana" w:hAnsi="Verdana" w:cs="Arial"/>
          <w:lang w:val="en-US"/>
        </w:rPr>
        <w:t>;</w:t>
      </w:r>
      <w:r w:rsidR="007665AD" w:rsidRPr="007665AD">
        <w:rPr>
          <w:rFonts w:ascii="Verdana" w:hAnsi="Verdana" w:cs="Arial"/>
          <w:lang w:val="en-US"/>
        </w:rPr>
        <w:t xml:space="preserve"> cog</w:t>
      </w:r>
      <w:r w:rsidR="005E0EAB">
        <w:rPr>
          <w:rFonts w:ascii="Verdana" w:hAnsi="Verdana" w:cs="Arial"/>
          <w:lang w:val="en-US"/>
        </w:rPr>
        <w:t>nitive abilities;</w:t>
      </w:r>
      <w:r w:rsidR="007665AD" w:rsidRPr="007665AD">
        <w:rPr>
          <w:rFonts w:ascii="Verdana" w:hAnsi="Verdana" w:cs="Arial"/>
          <w:lang w:val="en-US"/>
        </w:rPr>
        <w:t xml:space="preserve"> high school students</w:t>
      </w:r>
      <w:r w:rsidR="005E0EAB">
        <w:rPr>
          <w:rFonts w:ascii="Verdana" w:hAnsi="Verdana" w:cs="Arial"/>
          <w:lang w:val="en-US"/>
        </w:rPr>
        <w:t>.</w:t>
      </w:r>
    </w:p>
    <w:p w:rsidR="007665AD" w:rsidRPr="007665AD" w:rsidRDefault="007665AD" w:rsidP="00292E6C">
      <w:pPr>
        <w:spacing w:after="120"/>
        <w:jc w:val="center"/>
        <w:rPr>
          <w:rFonts w:ascii="Verdana" w:hAnsi="Verdana" w:cs="Arial"/>
          <w:lang w:val="en-US"/>
        </w:rPr>
      </w:pPr>
    </w:p>
    <w:p w:rsidR="001B36DD" w:rsidRDefault="001B36DD" w:rsidP="00292E6C">
      <w:pPr>
        <w:spacing w:after="120"/>
        <w:jc w:val="both"/>
        <w:rPr>
          <w:rFonts w:ascii="Verdana" w:hAnsi="Verdana" w:cs="Arial"/>
          <w:lang w:val="en-US"/>
        </w:rPr>
      </w:pPr>
    </w:p>
    <w:p w:rsidR="008E20C3" w:rsidRPr="005D59DD" w:rsidRDefault="008E20C3" w:rsidP="00292E6C">
      <w:pPr>
        <w:spacing w:after="120"/>
        <w:jc w:val="both"/>
        <w:rPr>
          <w:rFonts w:ascii="Verdana" w:hAnsi="Verdana" w:cs="Arial"/>
          <w:lang w:val="en-US"/>
        </w:rPr>
      </w:pPr>
    </w:p>
    <w:p w:rsidR="000E4BC3" w:rsidRPr="00DD7389" w:rsidRDefault="0081486E" w:rsidP="00292E6C">
      <w:pPr>
        <w:spacing w:after="120"/>
        <w:jc w:val="both"/>
        <w:rPr>
          <w:rFonts w:ascii="Verdana" w:hAnsi="Verdana" w:cs="Arial"/>
        </w:rPr>
      </w:pPr>
      <w:r w:rsidRPr="00DD7389">
        <w:rPr>
          <w:rFonts w:ascii="Verdana" w:hAnsi="Verdana" w:cs="Arial"/>
        </w:rPr>
        <w:t>INTRODUCCIÓN</w:t>
      </w:r>
    </w:p>
    <w:p w:rsidR="00306AB9" w:rsidRPr="00F631FC" w:rsidRDefault="00306AB9" w:rsidP="00292E6C">
      <w:pPr>
        <w:spacing w:after="120"/>
        <w:jc w:val="both"/>
        <w:rPr>
          <w:rFonts w:ascii="Verdana" w:eastAsia="Calibri" w:hAnsi="Verdana"/>
          <w:lang w:val="es-EC"/>
        </w:rPr>
      </w:pPr>
      <w:r w:rsidRPr="00F631FC">
        <w:rPr>
          <w:rFonts w:ascii="Verdana" w:eastAsia="Calibri" w:hAnsi="Verdana"/>
          <w:lang w:val="es-EC"/>
        </w:rPr>
        <w:t xml:space="preserve">El estudio de la gamificación para el desarrollo de habilidades cognitivas fue investigado por </w:t>
      </w:r>
      <w:r w:rsidR="00941BF3" w:rsidRPr="00F631FC">
        <w:rPr>
          <w:rFonts w:ascii="Verdana" w:eastAsia="Calibri" w:hAnsi="Verdana"/>
          <w:lang w:val="es-EC"/>
        </w:rPr>
        <w:t xml:space="preserve">Cepeda y </w:t>
      </w:r>
      <w:proofErr w:type="spellStart"/>
      <w:r w:rsidR="00941BF3" w:rsidRPr="00F631FC">
        <w:rPr>
          <w:rFonts w:ascii="Verdana" w:eastAsia="Calibri" w:hAnsi="Verdana"/>
          <w:lang w:val="es-EC"/>
        </w:rPr>
        <w:t>Solis</w:t>
      </w:r>
      <w:proofErr w:type="spellEnd"/>
      <w:r w:rsidRPr="00F631FC">
        <w:rPr>
          <w:rFonts w:ascii="Verdana" w:eastAsia="Calibri" w:hAnsi="Verdana"/>
          <w:lang w:val="es-EC"/>
        </w:rPr>
        <w:t xml:space="preserve"> </w:t>
      </w:r>
      <w:sdt>
        <w:sdtPr>
          <w:rPr>
            <w:rFonts w:ascii="Verdana" w:eastAsia="Calibri" w:hAnsi="Verdana"/>
            <w:lang w:val="es-EC"/>
          </w:rPr>
          <w:id w:val="-345791331"/>
          <w:citation/>
        </w:sdtPr>
        <w:sdtEndPr/>
        <w:sdtContent>
          <w:r w:rsidRPr="00F631FC">
            <w:rPr>
              <w:rFonts w:ascii="Verdana" w:eastAsia="Calibri" w:hAnsi="Verdana"/>
              <w:lang w:val="es-EC"/>
            </w:rPr>
            <w:fldChar w:fldCharType="begin"/>
          </w:r>
          <w:r w:rsidR="00941BF3" w:rsidRPr="00F631FC">
            <w:rPr>
              <w:rFonts w:ascii="Verdana" w:eastAsia="Calibri" w:hAnsi="Verdana"/>
            </w:rPr>
            <w:instrText xml:space="preserve">CITATION Cep21 \n  \t  \l 3082 </w:instrText>
          </w:r>
          <w:r w:rsidRPr="00F631FC">
            <w:rPr>
              <w:rFonts w:ascii="Verdana" w:eastAsia="Calibri" w:hAnsi="Verdana"/>
              <w:lang w:val="es-EC"/>
            </w:rPr>
            <w:fldChar w:fldCharType="separate"/>
          </w:r>
          <w:r w:rsidR="00941BF3" w:rsidRPr="00F631FC">
            <w:rPr>
              <w:rFonts w:ascii="Verdana" w:eastAsia="Calibri" w:hAnsi="Verdana"/>
              <w:noProof/>
            </w:rPr>
            <w:t>(2021)</w:t>
          </w:r>
          <w:r w:rsidRPr="00F631FC">
            <w:rPr>
              <w:rFonts w:ascii="Verdana" w:eastAsia="Calibri" w:hAnsi="Verdana"/>
              <w:lang w:val="es-EC"/>
            </w:rPr>
            <w:fldChar w:fldCharType="end"/>
          </w:r>
        </w:sdtContent>
      </w:sdt>
      <w:r w:rsidR="00941BF3" w:rsidRPr="00F631FC">
        <w:rPr>
          <w:rFonts w:ascii="Verdana" w:eastAsia="Calibri" w:hAnsi="Verdana"/>
          <w:lang w:val="es-EC"/>
        </w:rPr>
        <w:t xml:space="preserve"> en la ciudad de Riobamba, en estudiantes de primer año de educación general básica, orientado a determinar la incidencia de la gamificación en el desarrollo de habilidades cognitivas dentro del contexto de estudio. Los resultados</w:t>
      </w:r>
      <w:r w:rsidR="00C76042" w:rsidRPr="00F631FC">
        <w:rPr>
          <w:rFonts w:ascii="Verdana" w:eastAsia="Calibri" w:hAnsi="Verdana"/>
          <w:lang w:val="es-EC"/>
        </w:rPr>
        <w:t xml:space="preserve"> motivaron a la aceptación de</w:t>
      </w:r>
      <w:r w:rsidR="00941BF3" w:rsidRPr="00F631FC">
        <w:rPr>
          <w:rFonts w:ascii="Verdana" w:eastAsia="Calibri" w:hAnsi="Verdana"/>
          <w:lang w:val="es-EC"/>
        </w:rPr>
        <w:t xml:space="preserve"> una plataforma virtual, denominada </w:t>
      </w:r>
      <w:proofErr w:type="spellStart"/>
      <w:r w:rsidR="00941BF3" w:rsidRPr="00F631FC">
        <w:rPr>
          <w:rFonts w:ascii="Verdana" w:eastAsia="Calibri" w:hAnsi="Verdana"/>
          <w:lang w:val="es-EC"/>
        </w:rPr>
        <w:t>ClassDojo</w:t>
      </w:r>
      <w:proofErr w:type="spellEnd"/>
      <w:r w:rsidR="00941BF3" w:rsidRPr="00F631FC">
        <w:rPr>
          <w:rFonts w:ascii="Verdana" w:eastAsia="Calibri" w:hAnsi="Verdana"/>
          <w:lang w:val="es-EC"/>
        </w:rPr>
        <w:t>.</w:t>
      </w:r>
      <w:r w:rsidR="001F3859">
        <w:rPr>
          <w:rFonts w:ascii="Verdana" w:eastAsia="Calibri" w:hAnsi="Verdana"/>
          <w:lang w:val="es-EC"/>
        </w:rPr>
        <w:t xml:space="preserve"> </w:t>
      </w:r>
      <w:r w:rsidR="00941BF3" w:rsidRPr="00F631FC">
        <w:rPr>
          <w:rFonts w:ascii="Verdana" w:eastAsia="Calibri" w:hAnsi="Verdana"/>
          <w:lang w:val="es-EC"/>
        </w:rPr>
        <w:t xml:space="preserve">Obteniendo sustentos estadísticos mediante los cuales se probó la influencia de la gamificación en el fomento de habilidades cognitivas. </w:t>
      </w:r>
    </w:p>
    <w:p w:rsidR="003C5413" w:rsidRPr="00F631FC" w:rsidRDefault="00941BF3" w:rsidP="00292E6C">
      <w:pPr>
        <w:spacing w:after="120"/>
        <w:jc w:val="both"/>
        <w:rPr>
          <w:rFonts w:ascii="Verdana" w:eastAsia="Calibri" w:hAnsi="Verdana"/>
          <w:lang w:val="es-EC"/>
        </w:rPr>
      </w:pPr>
      <w:r w:rsidRPr="00F631FC">
        <w:rPr>
          <w:rFonts w:ascii="Verdana" w:eastAsia="Calibri" w:hAnsi="Verdana"/>
          <w:lang w:val="es-EC"/>
        </w:rPr>
        <w:t xml:space="preserve">De igual manera, existe el sustento desarrollado por </w:t>
      </w:r>
      <w:r w:rsidR="00955CD4" w:rsidRPr="00F631FC">
        <w:rPr>
          <w:rFonts w:ascii="Verdana" w:eastAsia="Calibri" w:hAnsi="Verdana"/>
          <w:lang w:val="es-EC"/>
        </w:rPr>
        <w:t xml:space="preserve">Liberio </w:t>
      </w:r>
      <w:sdt>
        <w:sdtPr>
          <w:rPr>
            <w:rFonts w:ascii="Verdana" w:eastAsia="Calibri" w:hAnsi="Verdana"/>
            <w:lang w:val="es-EC"/>
          </w:rPr>
          <w:id w:val="-1991238237"/>
          <w:citation/>
        </w:sdtPr>
        <w:sdtEndPr/>
        <w:sdtContent>
          <w:r w:rsidR="00955CD4" w:rsidRPr="00F631FC">
            <w:rPr>
              <w:rFonts w:ascii="Verdana" w:eastAsia="Calibri" w:hAnsi="Verdana"/>
              <w:lang w:val="es-EC"/>
            </w:rPr>
            <w:fldChar w:fldCharType="begin"/>
          </w:r>
          <w:r w:rsidR="00955CD4" w:rsidRPr="00F631FC">
            <w:rPr>
              <w:rFonts w:ascii="Verdana" w:eastAsia="Calibri" w:hAnsi="Verdana"/>
            </w:rPr>
            <w:instrText xml:space="preserve">CITATION Lib19 \n  \t  \l 3082 </w:instrText>
          </w:r>
          <w:r w:rsidR="00955CD4" w:rsidRPr="00F631FC">
            <w:rPr>
              <w:rFonts w:ascii="Verdana" w:eastAsia="Calibri" w:hAnsi="Verdana"/>
              <w:lang w:val="es-EC"/>
            </w:rPr>
            <w:fldChar w:fldCharType="separate"/>
          </w:r>
          <w:r w:rsidR="00955CD4" w:rsidRPr="00F631FC">
            <w:rPr>
              <w:rFonts w:ascii="Verdana" w:eastAsia="Calibri" w:hAnsi="Verdana"/>
              <w:noProof/>
            </w:rPr>
            <w:t>(2019)</w:t>
          </w:r>
          <w:r w:rsidR="00955CD4" w:rsidRPr="00F631FC">
            <w:rPr>
              <w:rFonts w:ascii="Verdana" w:eastAsia="Calibri" w:hAnsi="Verdana"/>
              <w:lang w:val="es-EC"/>
            </w:rPr>
            <w:fldChar w:fldCharType="end"/>
          </w:r>
        </w:sdtContent>
      </w:sdt>
      <w:r w:rsidR="00955CD4" w:rsidRPr="00F631FC">
        <w:rPr>
          <w:rFonts w:ascii="Verdana" w:eastAsia="Calibri" w:hAnsi="Verdana"/>
          <w:lang w:val="es-EC"/>
        </w:rPr>
        <w:t xml:space="preserve"> con el tema de la gamificación y su impacto en las habilidades cognitivas de estudiantes de educación inicial. </w:t>
      </w:r>
      <w:r w:rsidR="003C5413" w:rsidRPr="00F631FC">
        <w:rPr>
          <w:rFonts w:ascii="Verdana" w:eastAsia="Calibri" w:hAnsi="Verdana"/>
          <w:lang w:val="es-EC"/>
        </w:rPr>
        <w:t>La presente investigación abordó el problema</w:t>
      </w:r>
      <w:r w:rsidR="001F3859">
        <w:rPr>
          <w:rFonts w:ascii="Verdana" w:eastAsia="Calibri" w:hAnsi="Verdana"/>
          <w:lang w:val="es-EC"/>
        </w:rPr>
        <w:t>:</w:t>
      </w:r>
    </w:p>
    <w:p w:rsidR="003C5413" w:rsidRPr="00F631FC" w:rsidRDefault="001F3859" w:rsidP="00292E6C">
      <w:pPr>
        <w:spacing w:after="120"/>
        <w:jc w:val="both"/>
        <w:rPr>
          <w:rFonts w:ascii="Verdana" w:eastAsia="Calibri" w:hAnsi="Verdana"/>
          <w:lang w:val="es-EC"/>
        </w:rPr>
      </w:pPr>
      <w:r>
        <w:rPr>
          <w:rFonts w:ascii="Verdana" w:eastAsia="Calibri" w:hAnsi="Verdana"/>
          <w:lang w:val="es-EC"/>
        </w:rPr>
        <w:t>¿P</w:t>
      </w:r>
      <w:r w:rsidR="003C5413" w:rsidRPr="00F631FC">
        <w:rPr>
          <w:rFonts w:ascii="Verdana" w:eastAsia="Calibri" w:hAnsi="Verdana"/>
          <w:lang w:val="es-EC"/>
        </w:rPr>
        <w:t>ueden las estrategias didácticas, diseñadas de acuerd</w:t>
      </w:r>
      <w:r w:rsidR="00B16892">
        <w:rPr>
          <w:rFonts w:ascii="Verdana" w:eastAsia="Calibri" w:hAnsi="Verdana"/>
          <w:lang w:val="es-EC"/>
        </w:rPr>
        <w:t>o</w:t>
      </w:r>
      <w:r w:rsidR="003C5413" w:rsidRPr="00F631FC">
        <w:rPr>
          <w:rFonts w:ascii="Verdana" w:eastAsia="Calibri" w:hAnsi="Verdana"/>
          <w:lang w:val="es-EC"/>
        </w:rPr>
        <w:t xml:space="preserve"> a la gamificación propiciar el desarrollo de las habilidades cognitivas en estudiantes del nivel de preparatoria de la Escuela de Educación Básica “Babahoyo”?</w:t>
      </w:r>
    </w:p>
    <w:p w:rsidR="003C5413" w:rsidRPr="00F631FC" w:rsidRDefault="003C5413" w:rsidP="00292E6C">
      <w:pPr>
        <w:spacing w:after="120"/>
        <w:jc w:val="both"/>
        <w:rPr>
          <w:rFonts w:ascii="Verdana" w:eastAsia="Calibri" w:hAnsi="Verdana"/>
          <w:lang w:val="es-EC"/>
        </w:rPr>
      </w:pPr>
      <w:r w:rsidRPr="00F631FC">
        <w:rPr>
          <w:rFonts w:ascii="Verdana" w:eastAsia="Calibri" w:hAnsi="Verdana"/>
          <w:lang w:val="es-EC"/>
        </w:rPr>
        <w:t>Para lo cual se definió como objetivo de la investigación</w:t>
      </w:r>
      <w:r w:rsidR="001F3859">
        <w:rPr>
          <w:rFonts w:ascii="Verdana" w:eastAsia="Calibri" w:hAnsi="Verdana"/>
          <w:lang w:val="es-EC"/>
        </w:rPr>
        <w:t>:</w:t>
      </w:r>
      <w:r w:rsidRPr="00F631FC">
        <w:rPr>
          <w:rFonts w:ascii="Verdana" w:eastAsia="Calibri" w:hAnsi="Verdana"/>
          <w:lang w:val="es-EC"/>
        </w:rPr>
        <w:t xml:space="preserve"> diseñar estrategias didácticas fundamentadas en la gamificación para el desarrollo de las habilidades cognitivas en estudiantes del nivel de preparatoria de la Escuela de Educación Básica “Babahoyo”.</w:t>
      </w:r>
    </w:p>
    <w:p w:rsidR="003C5413" w:rsidRPr="00F631FC" w:rsidRDefault="003C5413" w:rsidP="00292E6C">
      <w:pPr>
        <w:spacing w:after="120"/>
        <w:jc w:val="both"/>
        <w:rPr>
          <w:rFonts w:ascii="Verdana" w:eastAsia="Calibri" w:hAnsi="Verdana"/>
          <w:lang w:val="es-EC"/>
        </w:rPr>
      </w:pPr>
      <w:r w:rsidRPr="00F631FC">
        <w:rPr>
          <w:rFonts w:ascii="Verdana" w:eastAsia="Calibri" w:hAnsi="Verdana"/>
          <w:lang w:val="es-EC"/>
        </w:rPr>
        <w:t>De acuerdo al objetivo de investigación se estableció la hipótesis “las estrategias didácticas basadas en la gamificación propician el desarrollo de las habilidades cognitivas en los estudiantes de preparatoria de la Escuela de Educación Básica Babahoyo”</w:t>
      </w:r>
      <w:r w:rsidR="001F3859">
        <w:rPr>
          <w:rFonts w:ascii="Verdana" w:eastAsia="Calibri" w:hAnsi="Verdana"/>
          <w:lang w:val="es-EC"/>
        </w:rPr>
        <w:t>.</w:t>
      </w:r>
    </w:p>
    <w:p w:rsidR="003C5413" w:rsidRPr="00F631FC" w:rsidRDefault="003C5413" w:rsidP="00292E6C">
      <w:pPr>
        <w:spacing w:after="120"/>
        <w:jc w:val="both"/>
        <w:rPr>
          <w:rFonts w:ascii="Verdana" w:eastAsia="Calibri" w:hAnsi="Verdana"/>
          <w:lang w:val="es-EC"/>
        </w:rPr>
      </w:pPr>
      <w:r w:rsidRPr="00F631FC">
        <w:rPr>
          <w:rFonts w:ascii="Verdana" w:eastAsia="Calibri" w:hAnsi="Verdana"/>
          <w:lang w:val="es-EC"/>
        </w:rPr>
        <w:t>Para dar cumplimiento al objetivo de investigación se emplearon materiales y métodos de acuerdo con enfoque mixto coherente con un tipo de investigación descriptiva explicativa, porque aborda el problema del desarrollo cognitivo en los estudiantes de preparatoria, se analizaron los aspectos más relevantes para su respectivo fortalecimiento y se explica cada uno de ellos para la elaboración de la propuesta y de tipo cuantitativo – cualitativo. Para lo cual se emplearon métodos, técnicas e instrumentos de recolección de datos como entrevistas, encuestas y el inventario de desarrollo del área cognitiva.</w:t>
      </w:r>
    </w:p>
    <w:p w:rsidR="003C5413" w:rsidRPr="003C5413" w:rsidRDefault="003C5413" w:rsidP="00292E6C">
      <w:pPr>
        <w:spacing w:after="120"/>
        <w:jc w:val="both"/>
        <w:rPr>
          <w:rFonts w:ascii="Verdana" w:eastAsia="Calibri" w:hAnsi="Verdana"/>
          <w:lang w:val="es-EC"/>
        </w:rPr>
      </w:pPr>
      <w:r w:rsidRPr="00F631FC">
        <w:rPr>
          <w:rFonts w:ascii="Verdana" w:eastAsia="Calibri" w:hAnsi="Verdana"/>
          <w:lang w:val="es-EC"/>
        </w:rPr>
        <w:t xml:space="preserve">Se desarrolló una encuesta dirigida a los docentes, estructurada con doce ítems para ser respondidos mediante una escala de </w:t>
      </w:r>
      <w:proofErr w:type="spellStart"/>
      <w:r w:rsidRPr="00F631FC">
        <w:rPr>
          <w:rFonts w:ascii="Verdana" w:eastAsia="Calibri" w:hAnsi="Verdana"/>
          <w:lang w:val="es-EC"/>
        </w:rPr>
        <w:t>likert</w:t>
      </w:r>
      <w:proofErr w:type="spellEnd"/>
      <w:r w:rsidRPr="00F631FC">
        <w:rPr>
          <w:rFonts w:ascii="Verdana" w:eastAsia="Calibri" w:hAnsi="Verdana"/>
          <w:lang w:val="es-EC"/>
        </w:rPr>
        <w:t xml:space="preserve">, adicionalmente, se diseñó una entrevista para ser aplicada a las autoridades de la Institución en el tema del proceso de desarrollo de las habilidades cognitivas en el contexto y con los estudiantes se aplicó el Inventario de desarrollo Battelle (2011). Para el procesamiento de la información se utilizó la estadística descriptiva, calculando porcentaje para exponer los resultados y se emplearon gráficos y </w:t>
      </w:r>
      <w:r w:rsidRPr="00F631FC">
        <w:rPr>
          <w:rFonts w:ascii="Verdana" w:eastAsia="Calibri" w:hAnsi="Verdana"/>
          <w:lang w:val="es-EC"/>
        </w:rPr>
        <w:lastRenderedPageBreak/>
        <w:t>tablas para su presentación. Adicionalmente, se desarrolló una triangulación de fuentes para contrastar los resultados obtenidos y establecer regularidades.</w:t>
      </w:r>
    </w:p>
    <w:p w:rsidR="008B3758" w:rsidRDefault="008B3758" w:rsidP="00292E6C">
      <w:pPr>
        <w:spacing w:after="120"/>
        <w:jc w:val="both"/>
        <w:rPr>
          <w:rFonts w:ascii="Verdana" w:eastAsia="Calibri" w:hAnsi="Verdana"/>
          <w:lang w:val="es-EC"/>
        </w:rPr>
      </w:pPr>
    </w:p>
    <w:p w:rsidR="008B3758" w:rsidRPr="00DD7389" w:rsidRDefault="008B3758" w:rsidP="00292E6C">
      <w:pPr>
        <w:spacing w:after="120"/>
        <w:jc w:val="both"/>
        <w:rPr>
          <w:rFonts w:ascii="Verdana" w:eastAsia="Calibri" w:hAnsi="Verdana"/>
          <w:lang w:val="es-EC"/>
        </w:rPr>
      </w:pPr>
      <w:r>
        <w:rPr>
          <w:rFonts w:ascii="Verdana" w:hAnsi="Verdana" w:cs="Arial"/>
        </w:rPr>
        <w:t>DESARROLLO</w:t>
      </w:r>
    </w:p>
    <w:p w:rsidR="005038D5" w:rsidRPr="008B3758" w:rsidRDefault="005038D5" w:rsidP="00292E6C">
      <w:pPr>
        <w:spacing w:after="120"/>
        <w:jc w:val="both"/>
        <w:rPr>
          <w:rFonts w:ascii="Verdana" w:hAnsi="Verdana" w:cs="Arial"/>
        </w:rPr>
      </w:pPr>
      <w:r w:rsidRPr="008B3758">
        <w:rPr>
          <w:rFonts w:ascii="Verdana" w:eastAsia="Calibri" w:hAnsi="Verdana"/>
          <w:lang w:val="es-EC"/>
        </w:rPr>
        <w:t>Gamificación</w:t>
      </w:r>
      <w:r w:rsidR="00CB359F" w:rsidRPr="008B3758">
        <w:rPr>
          <w:rFonts w:ascii="Verdana" w:eastAsia="Calibri" w:hAnsi="Verdana"/>
          <w:lang w:val="es-EC"/>
        </w:rPr>
        <w:t xml:space="preserve"> </w:t>
      </w:r>
    </w:p>
    <w:p w:rsidR="007F422C" w:rsidRPr="00DD7389" w:rsidRDefault="007F422C" w:rsidP="00292E6C">
      <w:pPr>
        <w:spacing w:after="120"/>
        <w:jc w:val="both"/>
        <w:rPr>
          <w:rFonts w:ascii="Verdana" w:eastAsia="Calibri" w:hAnsi="Verdana"/>
          <w:lang w:val="es-EC"/>
        </w:rPr>
      </w:pPr>
      <w:r w:rsidRPr="00DD7389">
        <w:rPr>
          <w:rFonts w:ascii="Verdana" w:eastAsia="Calibri" w:hAnsi="Verdana"/>
          <w:lang w:val="es-EC"/>
        </w:rPr>
        <w:t>La gamificación y su incidencia para el desarrollo de habilidades cognitivas es un tema de gran interés en el contexto actual en el cual la dinámica social y educativa se ejecuta basada en un sistema democrático, en la mayoría de los países, por lo tanto las actuaciones verticales de los docentes en las que se limitaban a transmitir información p</w:t>
      </w:r>
      <w:r w:rsidR="00C76042">
        <w:rPr>
          <w:rFonts w:ascii="Verdana" w:eastAsia="Calibri" w:hAnsi="Verdana"/>
          <w:lang w:val="es-EC"/>
        </w:rPr>
        <w:t>asó a estar en desuso, de acuerdo con</w:t>
      </w:r>
      <w:r w:rsidRPr="00DD7389">
        <w:rPr>
          <w:rFonts w:ascii="Verdana" w:eastAsia="Calibri" w:hAnsi="Verdana"/>
          <w:lang w:val="es-EC"/>
        </w:rPr>
        <w:t xml:space="preserve"> los planteamientos de autores como Ausubel</w:t>
      </w:r>
      <w:r w:rsidR="00F65DF4" w:rsidRPr="00DD7389">
        <w:rPr>
          <w:rFonts w:ascii="Verdana" w:eastAsia="Calibri" w:hAnsi="Verdana"/>
          <w:lang w:val="es-EC"/>
        </w:rPr>
        <w:t xml:space="preserve"> </w:t>
      </w:r>
      <w:sdt>
        <w:sdtPr>
          <w:rPr>
            <w:rFonts w:ascii="Verdana" w:eastAsia="Calibri" w:hAnsi="Verdana"/>
            <w:lang w:val="es-EC"/>
          </w:rPr>
          <w:id w:val="-1023394429"/>
          <w:citation/>
        </w:sdtPr>
        <w:sdtEndPr/>
        <w:sdtContent>
          <w:r w:rsidR="00F65DF4" w:rsidRPr="00DD7389">
            <w:rPr>
              <w:rFonts w:ascii="Verdana" w:eastAsia="Calibri" w:hAnsi="Verdana"/>
              <w:lang w:val="es-EC"/>
            </w:rPr>
            <w:fldChar w:fldCharType="begin"/>
          </w:r>
          <w:r w:rsidR="00F65DF4" w:rsidRPr="00DD7389">
            <w:rPr>
              <w:rFonts w:ascii="Verdana" w:eastAsia="Calibri" w:hAnsi="Verdana"/>
            </w:rPr>
            <w:instrText xml:space="preserve">CITATION Aus02 \n  \t  \l 3082 </w:instrText>
          </w:r>
          <w:r w:rsidR="00F65DF4" w:rsidRPr="00DD7389">
            <w:rPr>
              <w:rFonts w:ascii="Verdana" w:eastAsia="Calibri" w:hAnsi="Verdana"/>
              <w:lang w:val="es-EC"/>
            </w:rPr>
            <w:fldChar w:fldCharType="separate"/>
          </w:r>
          <w:r w:rsidR="00F65DF4" w:rsidRPr="00DD7389">
            <w:rPr>
              <w:rFonts w:ascii="Verdana" w:eastAsia="Calibri" w:hAnsi="Verdana"/>
              <w:noProof/>
            </w:rPr>
            <w:t>(2002)</w:t>
          </w:r>
          <w:r w:rsidR="00F65DF4" w:rsidRPr="00DD7389">
            <w:rPr>
              <w:rFonts w:ascii="Verdana" w:eastAsia="Calibri" w:hAnsi="Verdana"/>
              <w:lang w:val="es-EC"/>
            </w:rPr>
            <w:fldChar w:fldCharType="end"/>
          </w:r>
        </w:sdtContent>
      </w:sdt>
      <w:r w:rsidRPr="00DD7389">
        <w:rPr>
          <w:rFonts w:ascii="Verdana" w:eastAsia="Calibri" w:hAnsi="Verdana"/>
          <w:lang w:val="es-EC"/>
        </w:rPr>
        <w:t>, quien propuso el concepto de aprendizaje significativo</w:t>
      </w:r>
      <w:r w:rsidR="00CB0FFE" w:rsidRPr="00DD7389">
        <w:rPr>
          <w:rFonts w:ascii="Verdana" w:eastAsia="Calibri" w:hAnsi="Verdana"/>
          <w:lang w:val="es-EC"/>
        </w:rPr>
        <w:t xml:space="preserve">, paradigma desde el cual la retención y adquisición de conocimientos no debe estar limitado a los aspectos formales de las instituciones educativas, sino a todas las interacciones que ejecutan los estudiantes, a través de las cuales ponen en práctica lo aprendido; </w:t>
      </w:r>
      <w:r w:rsidRPr="00DD7389">
        <w:rPr>
          <w:rFonts w:ascii="Verdana" w:eastAsia="Calibri" w:hAnsi="Verdana"/>
          <w:lang w:val="es-EC"/>
        </w:rPr>
        <w:t xml:space="preserve"> y de </w:t>
      </w:r>
      <w:proofErr w:type="spellStart"/>
      <w:r w:rsidRPr="00DD7389">
        <w:rPr>
          <w:rFonts w:ascii="Verdana" w:eastAsia="Calibri" w:hAnsi="Verdana"/>
          <w:lang w:val="es-EC"/>
        </w:rPr>
        <w:t>Vigostky</w:t>
      </w:r>
      <w:proofErr w:type="spellEnd"/>
      <w:r w:rsidR="00F65DF4" w:rsidRPr="00DD7389">
        <w:rPr>
          <w:rFonts w:ascii="Verdana" w:hAnsi="Verdana"/>
        </w:rPr>
        <w:t xml:space="preserve"> </w:t>
      </w:r>
      <w:sdt>
        <w:sdtPr>
          <w:rPr>
            <w:rFonts w:ascii="Verdana" w:hAnsi="Verdana"/>
          </w:rPr>
          <w:id w:val="-1449084448"/>
          <w:citation/>
        </w:sdtPr>
        <w:sdtEndPr/>
        <w:sdtContent>
          <w:r w:rsidR="00F65DF4" w:rsidRPr="00DD7389">
            <w:rPr>
              <w:rFonts w:ascii="Verdana" w:hAnsi="Verdana"/>
            </w:rPr>
            <w:fldChar w:fldCharType="begin"/>
          </w:r>
          <w:r w:rsidR="00F65DF4" w:rsidRPr="00DD7389">
            <w:rPr>
              <w:rFonts w:ascii="Verdana" w:hAnsi="Verdana"/>
            </w:rPr>
            <w:instrText xml:space="preserve">CITATION Vyg78 \n  \t  \l 12298 </w:instrText>
          </w:r>
          <w:r w:rsidR="00F65DF4" w:rsidRPr="00DD7389">
            <w:rPr>
              <w:rFonts w:ascii="Verdana" w:hAnsi="Verdana"/>
            </w:rPr>
            <w:fldChar w:fldCharType="separate"/>
          </w:r>
          <w:r w:rsidR="00F65DF4" w:rsidRPr="00DD7389">
            <w:rPr>
              <w:rFonts w:ascii="Verdana" w:hAnsi="Verdana"/>
              <w:noProof/>
            </w:rPr>
            <w:t>(1978)</w:t>
          </w:r>
          <w:r w:rsidR="00F65DF4" w:rsidRPr="00DD7389">
            <w:rPr>
              <w:rFonts w:ascii="Verdana" w:hAnsi="Verdana"/>
            </w:rPr>
            <w:fldChar w:fldCharType="end"/>
          </w:r>
        </w:sdtContent>
      </w:sdt>
      <w:r w:rsidR="00C76042">
        <w:rPr>
          <w:rFonts w:ascii="Verdana" w:eastAsia="Calibri" w:hAnsi="Verdana"/>
          <w:lang w:val="es-EC"/>
        </w:rPr>
        <w:t xml:space="preserve"> quien planteó</w:t>
      </w:r>
      <w:r w:rsidRPr="00DD7389">
        <w:rPr>
          <w:rFonts w:ascii="Verdana" w:eastAsia="Calibri" w:hAnsi="Verdana"/>
          <w:lang w:val="es-EC"/>
        </w:rPr>
        <w:t xml:space="preserve"> </w:t>
      </w:r>
      <w:r w:rsidR="005232AF" w:rsidRPr="00DD7389">
        <w:rPr>
          <w:rFonts w:ascii="Verdana" w:eastAsia="Calibri" w:hAnsi="Verdana"/>
          <w:lang w:val="es-EC"/>
        </w:rPr>
        <w:t xml:space="preserve">aspectos asociados al </w:t>
      </w:r>
      <w:r w:rsidR="00F65DF4" w:rsidRPr="00DD7389">
        <w:rPr>
          <w:rFonts w:ascii="Verdana" w:eastAsia="Calibri" w:hAnsi="Verdana"/>
          <w:lang w:val="es-EC"/>
        </w:rPr>
        <w:t xml:space="preserve">llamado constructivismo social, desde cuya concepción el aprendizaje se efectúa, a través de la interacción social </w:t>
      </w:r>
      <w:r w:rsidR="00C76042">
        <w:rPr>
          <w:rFonts w:ascii="Verdana" w:eastAsia="Calibri" w:hAnsi="Verdana"/>
          <w:lang w:val="es-EC"/>
        </w:rPr>
        <w:t xml:space="preserve">y desde esta </w:t>
      </w:r>
      <w:r w:rsidR="00F65DF4" w:rsidRPr="00DD7389">
        <w:rPr>
          <w:rFonts w:ascii="Verdana" w:eastAsia="Calibri" w:hAnsi="Verdana"/>
          <w:lang w:val="es-EC"/>
        </w:rPr>
        <w:t>se promueven las habilidades cognitivas como un proceso que se presenta desde la inmersión del modo de vida.</w:t>
      </w:r>
    </w:p>
    <w:p w:rsidR="002521CF" w:rsidRPr="005B21C4" w:rsidRDefault="00CB0FFE" w:rsidP="005B21C4">
      <w:pPr>
        <w:spacing w:after="120"/>
        <w:jc w:val="both"/>
        <w:rPr>
          <w:rFonts w:ascii="Verdana" w:hAnsi="Verdana"/>
        </w:rPr>
      </w:pPr>
      <w:r w:rsidRPr="00792C6B">
        <w:rPr>
          <w:rFonts w:ascii="Verdana" w:eastAsia="Calibri" w:hAnsi="Verdana"/>
          <w:lang w:val="es-EC"/>
        </w:rPr>
        <w:t>En correspondencia con lo antes mencionado, la gamificación</w:t>
      </w:r>
      <w:r w:rsidR="00C76042" w:rsidRPr="00792C6B">
        <w:rPr>
          <w:rFonts w:ascii="Verdana" w:eastAsia="Calibri" w:hAnsi="Verdana"/>
          <w:lang w:val="es-EC"/>
        </w:rPr>
        <w:t xml:space="preserve"> se</w:t>
      </w:r>
      <w:r w:rsidRPr="00792C6B">
        <w:rPr>
          <w:rFonts w:ascii="Verdana" w:eastAsia="Calibri" w:hAnsi="Verdana"/>
          <w:lang w:val="es-EC"/>
        </w:rPr>
        <w:t xml:space="preserve"> </w:t>
      </w:r>
      <w:r w:rsidRPr="00792C6B">
        <w:rPr>
          <w:rFonts w:ascii="Verdana" w:hAnsi="Verdana"/>
        </w:rPr>
        <w:t xml:space="preserve">fundamenta en los postulados del constructivismo desarrollado por </w:t>
      </w:r>
      <w:proofErr w:type="spellStart"/>
      <w:r w:rsidRPr="00792C6B">
        <w:rPr>
          <w:rFonts w:ascii="Verdana" w:hAnsi="Verdana"/>
        </w:rPr>
        <w:t>Vigotsky</w:t>
      </w:r>
      <w:proofErr w:type="spellEnd"/>
      <w:r w:rsidRPr="00792C6B">
        <w:rPr>
          <w:rFonts w:ascii="Verdana" w:hAnsi="Verdana"/>
        </w:rPr>
        <w:t xml:space="preserve"> </w:t>
      </w:r>
      <w:sdt>
        <w:sdtPr>
          <w:rPr>
            <w:rFonts w:ascii="Verdana" w:hAnsi="Verdana"/>
          </w:rPr>
          <w:id w:val="-896433228"/>
          <w:citation/>
        </w:sdtPr>
        <w:sdtEndPr/>
        <w:sdtContent>
          <w:r w:rsidRPr="00792C6B">
            <w:rPr>
              <w:rFonts w:ascii="Verdana" w:hAnsi="Verdana"/>
            </w:rPr>
            <w:fldChar w:fldCharType="begin"/>
          </w:r>
          <w:r w:rsidRPr="00792C6B">
            <w:rPr>
              <w:rFonts w:ascii="Verdana" w:hAnsi="Verdana"/>
            </w:rPr>
            <w:instrText xml:space="preserve">CITATION Vyg78 \n  \t  \l 12298 </w:instrText>
          </w:r>
          <w:r w:rsidRPr="00792C6B">
            <w:rPr>
              <w:rFonts w:ascii="Verdana" w:hAnsi="Verdana"/>
            </w:rPr>
            <w:fldChar w:fldCharType="separate"/>
          </w:r>
          <w:r w:rsidRPr="00792C6B">
            <w:rPr>
              <w:rFonts w:ascii="Verdana" w:hAnsi="Verdana"/>
              <w:noProof/>
            </w:rPr>
            <w:t>(1978)</w:t>
          </w:r>
          <w:r w:rsidRPr="00792C6B">
            <w:rPr>
              <w:rFonts w:ascii="Verdana" w:hAnsi="Verdana"/>
            </w:rPr>
            <w:fldChar w:fldCharType="end"/>
          </w:r>
        </w:sdtContent>
      </w:sdt>
      <w:r w:rsidR="005B21C4">
        <w:rPr>
          <w:rFonts w:ascii="Verdana" w:hAnsi="Verdana"/>
        </w:rPr>
        <w:t xml:space="preserve"> para quien</w:t>
      </w:r>
      <w:r w:rsidR="002521CF" w:rsidRPr="00DD7389">
        <w:rPr>
          <w:rFonts w:ascii="Verdana" w:eastAsia="Calibri" w:hAnsi="Verdana"/>
          <w:shd w:val="clear" w:color="auto" w:fill="FFFFFF"/>
          <w:lang w:val="es-EC" w:eastAsia="en-US"/>
        </w:rPr>
        <w:t xml:space="preserve"> la psicología y el aprendizaje implican más que la relación entre </w:t>
      </w:r>
      <w:r w:rsidR="002521CF" w:rsidRPr="00DD7389">
        <w:rPr>
          <w:rFonts w:ascii="Verdana" w:eastAsia="Calibri" w:hAnsi="Verdana"/>
          <w:lang w:val="es-EC" w:eastAsia="en-US"/>
        </w:rPr>
        <w:t>estímulos y respuestas, planteamiento que lo llevó a exponer sus desarrollos en</w:t>
      </w:r>
      <w:r w:rsidR="002521CF" w:rsidRPr="00DD7389">
        <w:rPr>
          <w:rFonts w:ascii="Verdana" w:eastAsia="Calibri" w:hAnsi="Verdana"/>
          <w:shd w:val="clear" w:color="auto" w:fill="FFFFFF"/>
          <w:lang w:val="es-EC" w:eastAsia="en-US"/>
        </w:rPr>
        <w:t xml:space="preserve"> torno a que el conocimiento se construye de acuerdo a las habilidades mentales que se fortalecen mediante la interacción social. Para el autor las funciones cognitivas se asientan primero en el ámbito social y luego en el individual y es a través de las operaciones mentales que ocurren durante la interacción de la persona con el mundo donde se cristaliza el aprendizaje.</w:t>
      </w:r>
    </w:p>
    <w:p w:rsidR="00F247CE" w:rsidRPr="008B3758" w:rsidRDefault="00CB359F" w:rsidP="00292E6C">
      <w:pPr>
        <w:keepNext/>
        <w:keepLines/>
        <w:spacing w:before="120" w:after="120"/>
        <w:outlineLvl w:val="2"/>
        <w:rPr>
          <w:rFonts w:ascii="Verdana" w:hAnsi="Verdana"/>
          <w:lang w:val="es-EC" w:eastAsia="en-US"/>
        </w:rPr>
      </w:pPr>
      <w:bookmarkStart w:id="1" w:name="_Toc57449022"/>
      <w:bookmarkStart w:id="2" w:name="_Toc76038816"/>
      <w:bookmarkStart w:id="3" w:name="_Toc87891442"/>
      <w:r w:rsidRPr="008B3758">
        <w:rPr>
          <w:rFonts w:ascii="Verdana" w:hAnsi="Verdana"/>
          <w:lang w:val="es-EC" w:eastAsia="en-US"/>
        </w:rPr>
        <w:t xml:space="preserve">Conceptualización de </w:t>
      </w:r>
      <w:r w:rsidR="00F247CE" w:rsidRPr="008B3758">
        <w:rPr>
          <w:rFonts w:ascii="Verdana" w:hAnsi="Verdana"/>
          <w:lang w:val="es-EC" w:eastAsia="en-US"/>
        </w:rPr>
        <w:t>Gamificación</w:t>
      </w:r>
      <w:bookmarkEnd w:id="1"/>
      <w:bookmarkEnd w:id="2"/>
      <w:bookmarkEnd w:id="3"/>
    </w:p>
    <w:p w:rsidR="00F247CE" w:rsidRPr="00DD7389" w:rsidRDefault="00F247CE" w:rsidP="00292E6C">
      <w:pPr>
        <w:spacing w:before="120" w:after="120"/>
        <w:jc w:val="both"/>
        <w:rPr>
          <w:rFonts w:ascii="Verdana" w:eastAsia="Calibri" w:hAnsi="Verdana"/>
          <w:b/>
          <w:bCs/>
          <w:lang w:val="es-EC" w:eastAsia="en-US"/>
        </w:rPr>
      </w:pPr>
      <w:r w:rsidRPr="00DD7389">
        <w:rPr>
          <w:rFonts w:ascii="Verdana" w:eastAsia="Calibri" w:hAnsi="Verdana"/>
          <w:lang w:val="es-EC" w:eastAsia="en-US"/>
        </w:rPr>
        <w:t>La gamificación, se fundamenta en el empleo d</w:t>
      </w:r>
      <w:r w:rsidR="00201655">
        <w:rPr>
          <w:rFonts w:ascii="Verdana" w:eastAsia="Calibri" w:hAnsi="Verdana"/>
          <w:lang w:val="es-EC" w:eastAsia="en-US"/>
        </w:rPr>
        <w:t>e elementos de</w:t>
      </w:r>
      <w:r w:rsidRPr="00DD7389">
        <w:rPr>
          <w:rFonts w:ascii="Verdana" w:eastAsia="Calibri" w:hAnsi="Verdana"/>
          <w:lang w:val="es-EC" w:eastAsia="en-US"/>
        </w:rPr>
        <w:t xml:space="preserve"> juego, virtuales o reales, en ambientes no lúdicos; con el propósito de promover el interés, causando un comportamiento concreto, en un contexto atractivo de retroalimentación contigua, que capte la atención del estudiante y lo incentive permanentemente</w:t>
      </w:r>
      <w:sdt>
        <w:sdtPr>
          <w:rPr>
            <w:rFonts w:ascii="Verdana" w:eastAsia="Calibri" w:hAnsi="Verdana"/>
            <w:lang w:val="es-EC" w:eastAsia="en-US"/>
          </w:rPr>
          <w:id w:val="1849133032"/>
          <w:citation/>
        </w:sdtPr>
        <w:sdtEndPr/>
        <w:sdtContent>
          <w:r w:rsidR="00881561">
            <w:rPr>
              <w:rFonts w:ascii="Verdana" w:eastAsia="Calibri" w:hAnsi="Verdana"/>
              <w:lang w:val="es-EC" w:eastAsia="en-US"/>
            </w:rPr>
            <w:fldChar w:fldCharType="begin"/>
          </w:r>
          <w:r w:rsidR="00881561">
            <w:rPr>
              <w:rFonts w:ascii="Verdana" w:eastAsia="Calibri" w:hAnsi="Verdana"/>
              <w:lang w:eastAsia="en-US"/>
            </w:rPr>
            <w:instrText xml:space="preserve"> CITATION Anc21 \l 3082 </w:instrText>
          </w:r>
          <w:r w:rsidR="00881561">
            <w:rPr>
              <w:rFonts w:ascii="Verdana" w:eastAsia="Calibri" w:hAnsi="Verdana"/>
              <w:lang w:val="es-EC" w:eastAsia="en-US"/>
            </w:rPr>
            <w:fldChar w:fldCharType="separate"/>
          </w:r>
          <w:r w:rsidR="00881561">
            <w:rPr>
              <w:rFonts w:ascii="Verdana" w:eastAsia="Calibri" w:hAnsi="Verdana"/>
              <w:noProof/>
              <w:lang w:eastAsia="en-US"/>
            </w:rPr>
            <w:t xml:space="preserve"> </w:t>
          </w:r>
          <w:r w:rsidR="00881561" w:rsidRPr="00881561">
            <w:rPr>
              <w:rFonts w:ascii="Verdana" w:eastAsia="Calibri" w:hAnsi="Verdana"/>
              <w:noProof/>
              <w:lang w:eastAsia="en-US"/>
            </w:rPr>
            <w:t>(Anchundia &amp; Alcívar, 2021)</w:t>
          </w:r>
          <w:r w:rsidR="00881561">
            <w:rPr>
              <w:rFonts w:ascii="Verdana" w:eastAsia="Calibri" w:hAnsi="Verdana"/>
              <w:lang w:val="es-EC" w:eastAsia="en-US"/>
            </w:rPr>
            <w:fldChar w:fldCharType="end"/>
          </w:r>
        </w:sdtContent>
      </w:sdt>
      <w:r w:rsidRPr="00DD7389">
        <w:rPr>
          <w:rFonts w:ascii="Verdana" w:eastAsia="Calibri" w:hAnsi="Verdana"/>
          <w:lang w:val="es-EC" w:eastAsia="en-US"/>
        </w:rPr>
        <w:t>.</w:t>
      </w:r>
    </w:p>
    <w:p w:rsidR="002770F7" w:rsidRPr="00DD7389" w:rsidRDefault="002770F7" w:rsidP="00292E6C">
      <w:pPr>
        <w:spacing w:before="120" w:after="120"/>
        <w:jc w:val="both"/>
        <w:rPr>
          <w:rFonts w:ascii="Verdana" w:eastAsia="Calibri" w:hAnsi="Verdana"/>
          <w:lang w:val="es-EC" w:eastAsia="en-US"/>
        </w:rPr>
      </w:pPr>
      <w:r w:rsidRPr="00792C6B">
        <w:rPr>
          <w:rFonts w:ascii="Verdana" w:eastAsia="Calibri" w:hAnsi="Verdana"/>
          <w:lang w:val="es-EC" w:eastAsia="en-US"/>
        </w:rPr>
        <w:t xml:space="preserve">De tal manera que, la gamificación es una metodología que emplea elementos como parte de un juego, en ambientes no lúdicos, disponiendo del entretenimiento o actividades lúdicas, que promueven un cambio comportamental de los participantes, así como </w:t>
      </w:r>
      <w:r w:rsidR="00792C6B" w:rsidRPr="00792C6B">
        <w:rPr>
          <w:rFonts w:ascii="Verdana" w:eastAsia="Calibri" w:hAnsi="Verdana"/>
          <w:lang w:val="es-EC" w:eastAsia="en-US"/>
        </w:rPr>
        <w:t>s</w:t>
      </w:r>
      <w:r w:rsidRPr="00792C6B">
        <w:rPr>
          <w:rFonts w:ascii="Verdana" w:eastAsia="Calibri" w:hAnsi="Verdana"/>
          <w:lang w:val="es-EC" w:eastAsia="en-US"/>
        </w:rPr>
        <w:t>e promueve el trabajo en equipo, mejora la comunicación, desarrollando un aprendizaje significativo, en un contexto motivador, dirigida a lograr una educación de calidad.</w:t>
      </w:r>
    </w:p>
    <w:p w:rsidR="00F247CE" w:rsidRPr="008B3758" w:rsidRDefault="00CB359F" w:rsidP="00292E6C">
      <w:pPr>
        <w:keepNext/>
        <w:keepLines/>
        <w:spacing w:before="120" w:after="120"/>
        <w:outlineLvl w:val="2"/>
        <w:rPr>
          <w:rFonts w:ascii="Verdana" w:eastAsia="Calibri" w:hAnsi="Verdana"/>
          <w:lang w:val="es-EC" w:eastAsia="en-US"/>
        </w:rPr>
      </w:pPr>
      <w:bookmarkStart w:id="4" w:name="_Toc87891443"/>
      <w:r w:rsidRPr="008B3758">
        <w:rPr>
          <w:rFonts w:ascii="Verdana" w:eastAsia="Calibri" w:hAnsi="Verdana"/>
          <w:lang w:val="es-EC" w:eastAsia="en-US"/>
        </w:rPr>
        <w:lastRenderedPageBreak/>
        <w:t>Significación</w:t>
      </w:r>
      <w:r w:rsidR="00F247CE" w:rsidRPr="008B3758">
        <w:rPr>
          <w:rFonts w:ascii="Verdana" w:eastAsia="Calibri" w:hAnsi="Verdana"/>
          <w:lang w:val="es-EC" w:eastAsia="en-US"/>
        </w:rPr>
        <w:t xml:space="preserve"> de la gamificación</w:t>
      </w:r>
      <w:bookmarkEnd w:id="4"/>
    </w:p>
    <w:p w:rsidR="00F247CE" w:rsidRPr="00DD7389" w:rsidRDefault="002770F7" w:rsidP="00292E6C">
      <w:pPr>
        <w:spacing w:before="120" w:after="120"/>
        <w:jc w:val="both"/>
        <w:rPr>
          <w:rFonts w:ascii="Verdana" w:eastAsia="Calibri" w:hAnsi="Verdana"/>
          <w:lang w:val="es-EC" w:eastAsia="en-US"/>
        </w:rPr>
      </w:pPr>
      <w:r w:rsidRPr="00792C6B">
        <w:rPr>
          <w:rFonts w:ascii="Verdana" w:eastAsia="Calibri" w:hAnsi="Verdana"/>
          <w:lang w:val="es-EC" w:eastAsia="en-US"/>
        </w:rPr>
        <w:t>La gamificación se está empleando en el ámbito educativo como una estrategia para involucrar a los estudiantes a lograr sus objetivos académicos, así como para alentar a los alumnos a utilizar sus herramientas. Actualmente, la gamificación constituye un</w:t>
      </w:r>
      <w:r w:rsidR="00792C6B" w:rsidRPr="00792C6B">
        <w:rPr>
          <w:rFonts w:ascii="Verdana" w:eastAsia="Calibri" w:hAnsi="Verdana"/>
          <w:lang w:val="es-EC" w:eastAsia="en-US"/>
        </w:rPr>
        <w:t xml:space="preserve"> método poderoso de instrucción </w:t>
      </w:r>
      <w:r w:rsidRPr="00792C6B">
        <w:rPr>
          <w:rFonts w:ascii="Verdana" w:eastAsia="Calibri" w:hAnsi="Verdana"/>
          <w:lang w:val="es-EC" w:eastAsia="en-US"/>
        </w:rPr>
        <w:t xml:space="preserve">educativa, empleado </w:t>
      </w:r>
      <w:r w:rsidR="00792C6B" w:rsidRPr="00792C6B">
        <w:rPr>
          <w:rFonts w:ascii="Verdana" w:eastAsia="Calibri" w:hAnsi="Verdana"/>
          <w:lang w:val="es-EC" w:eastAsia="en-US"/>
        </w:rPr>
        <w:t xml:space="preserve">en </w:t>
      </w:r>
      <w:r w:rsidRPr="00792C6B">
        <w:rPr>
          <w:rFonts w:ascii="Verdana" w:eastAsia="Calibri" w:hAnsi="Verdana"/>
          <w:lang w:val="es-EC" w:eastAsia="en-US"/>
        </w:rPr>
        <w:t xml:space="preserve">todos los niveles, incluyendo las mejores universidades. Mediante esta herramienta se facilita el pensamiento global, capacidad de decidir, sustentada en datos y la colaboración entre compañeros </w:t>
      </w:r>
      <w:sdt>
        <w:sdtPr>
          <w:rPr>
            <w:rFonts w:ascii="Verdana" w:eastAsia="Calibri" w:hAnsi="Verdana"/>
            <w:lang w:val="es-EC" w:eastAsia="en-US"/>
          </w:rPr>
          <w:id w:val="-1610892604"/>
          <w:citation/>
        </w:sdtPr>
        <w:sdtEndPr/>
        <w:sdtContent>
          <w:r w:rsidR="00F247CE" w:rsidRPr="00792C6B">
            <w:rPr>
              <w:rFonts w:ascii="Verdana" w:eastAsia="Calibri" w:hAnsi="Verdana"/>
              <w:lang w:val="es-EC" w:eastAsia="en-US"/>
            </w:rPr>
            <w:fldChar w:fldCharType="begin"/>
          </w:r>
          <w:r w:rsidR="00F247CE" w:rsidRPr="00792C6B">
            <w:rPr>
              <w:rFonts w:ascii="Verdana" w:eastAsia="Calibri" w:hAnsi="Verdana"/>
              <w:lang w:val="es-EC" w:eastAsia="en-US"/>
            </w:rPr>
            <w:instrText xml:space="preserve">CITATION Bru \l 12298 </w:instrText>
          </w:r>
          <w:r w:rsidR="00F247CE" w:rsidRPr="00792C6B">
            <w:rPr>
              <w:rFonts w:ascii="Verdana" w:eastAsia="Calibri" w:hAnsi="Verdana"/>
              <w:lang w:val="es-EC" w:eastAsia="en-US"/>
            </w:rPr>
            <w:fldChar w:fldCharType="separate"/>
          </w:r>
          <w:r w:rsidR="00F247CE" w:rsidRPr="00792C6B">
            <w:rPr>
              <w:rFonts w:ascii="Verdana" w:eastAsia="Calibri" w:hAnsi="Verdana"/>
              <w:noProof/>
              <w:lang w:val="es-EC" w:eastAsia="en-US"/>
            </w:rPr>
            <w:t xml:space="preserve"> (Brull, 2016)</w:t>
          </w:r>
          <w:r w:rsidR="00F247CE" w:rsidRPr="00792C6B">
            <w:rPr>
              <w:rFonts w:ascii="Verdana" w:eastAsia="Calibri" w:hAnsi="Verdana"/>
              <w:lang w:val="es-EC" w:eastAsia="en-US"/>
            </w:rPr>
            <w:fldChar w:fldCharType="end"/>
          </w:r>
        </w:sdtContent>
      </w:sdt>
      <w:r w:rsidR="00F247CE" w:rsidRPr="00792C6B">
        <w:rPr>
          <w:rFonts w:ascii="Verdana" w:eastAsia="Calibri" w:hAnsi="Verdana"/>
          <w:lang w:val="es-EC" w:eastAsia="en-US"/>
        </w:rPr>
        <w:t>.</w:t>
      </w:r>
    </w:p>
    <w:p w:rsidR="00F247CE" w:rsidRPr="00DD7389" w:rsidRDefault="002770F7" w:rsidP="00292E6C">
      <w:pPr>
        <w:spacing w:before="120" w:after="120"/>
        <w:jc w:val="both"/>
        <w:rPr>
          <w:rFonts w:ascii="Verdana" w:eastAsia="Calibri" w:hAnsi="Verdana"/>
          <w:lang w:val="es-EC" w:eastAsia="en-US"/>
        </w:rPr>
      </w:pPr>
      <w:r w:rsidRPr="00DD7389">
        <w:rPr>
          <w:rFonts w:ascii="Verdana" w:eastAsia="Calibri" w:hAnsi="Verdana"/>
          <w:lang w:val="es-EC" w:eastAsia="en-US"/>
        </w:rPr>
        <w:t>De igual forma, es fundamental, adjudicar</w:t>
      </w:r>
      <w:r w:rsidR="00F247CE" w:rsidRPr="00DD7389">
        <w:rPr>
          <w:rFonts w:ascii="Verdana" w:eastAsia="Calibri" w:hAnsi="Verdana"/>
          <w:lang w:val="es-EC" w:eastAsia="en-US"/>
        </w:rPr>
        <w:t xml:space="preserve"> a l</w:t>
      </w:r>
      <w:r w:rsidR="00C72887" w:rsidRPr="00DD7389">
        <w:rPr>
          <w:rFonts w:ascii="Verdana" w:eastAsia="Calibri" w:hAnsi="Verdana"/>
          <w:lang w:val="es-EC" w:eastAsia="en-US"/>
        </w:rPr>
        <w:t>a gamificación la</w:t>
      </w:r>
      <w:r w:rsidR="00F247CE" w:rsidRPr="00DD7389">
        <w:rPr>
          <w:rFonts w:ascii="Verdana" w:eastAsia="Calibri" w:hAnsi="Verdana"/>
          <w:lang w:val="es-EC" w:eastAsia="en-US"/>
        </w:rPr>
        <w:t xml:space="preserve"> innovación</w:t>
      </w:r>
      <w:r w:rsidR="00C72887" w:rsidRPr="00DD7389">
        <w:rPr>
          <w:rFonts w:ascii="Verdana" w:eastAsia="Calibri" w:hAnsi="Verdana"/>
          <w:lang w:val="es-EC" w:eastAsia="en-US"/>
        </w:rPr>
        <w:t xml:space="preserve"> y optimización de</w:t>
      </w:r>
      <w:r w:rsidR="00F247CE" w:rsidRPr="00DD7389">
        <w:rPr>
          <w:rFonts w:ascii="Verdana" w:eastAsia="Calibri" w:hAnsi="Verdana"/>
          <w:lang w:val="es-EC" w:eastAsia="en-US"/>
        </w:rPr>
        <w:t xml:space="preserve"> los procesos de enseñanza</w:t>
      </w:r>
      <w:r w:rsidR="00FF7C55">
        <w:rPr>
          <w:rFonts w:ascii="Verdana" w:eastAsia="Calibri" w:hAnsi="Verdana"/>
          <w:lang w:val="es-EC" w:eastAsia="en-US"/>
        </w:rPr>
        <w:t xml:space="preserve"> </w:t>
      </w:r>
      <w:r w:rsidR="00C72887" w:rsidRPr="00DD7389">
        <w:rPr>
          <w:rFonts w:ascii="Verdana" w:eastAsia="Calibri" w:hAnsi="Verdana"/>
          <w:lang w:val="es-EC" w:eastAsia="en-US"/>
        </w:rPr>
        <w:t>aprendizaje, soportado en que</w:t>
      </w:r>
      <w:r w:rsidR="00F247CE" w:rsidRPr="00DD7389">
        <w:rPr>
          <w:rFonts w:ascii="Verdana" w:eastAsia="Calibri" w:hAnsi="Verdana"/>
          <w:lang w:val="es-EC" w:eastAsia="en-US"/>
        </w:rPr>
        <w:t xml:space="preserve"> esta</w:t>
      </w:r>
      <w:r w:rsidR="00C72887" w:rsidRPr="00DD7389">
        <w:rPr>
          <w:rFonts w:ascii="Verdana" w:eastAsia="Calibri" w:hAnsi="Verdana"/>
          <w:lang w:val="es-EC" w:eastAsia="en-US"/>
        </w:rPr>
        <w:t>s estrategias incrementan</w:t>
      </w:r>
      <w:r w:rsidR="00F247CE" w:rsidRPr="00DD7389">
        <w:rPr>
          <w:rFonts w:ascii="Verdana" w:eastAsia="Calibri" w:hAnsi="Verdana"/>
          <w:lang w:val="es-EC" w:eastAsia="en-US"/>
        </w:rPr>
        <w:t xml:space="preserve"> el interés de</w:t>
      </w:r>
      <w:r w:rsidR="0058078F" w:rsidRPr="00DD7389">
        <w:rPr>
          <w:rFonts w:ascii="Verdana" w:eastAsia="Calibri" w:hAnsi="Verdana"/>
          <w:lang w:val="es-EC" w:eastAsia="en-US"/>
        </w:rPr>
        <w:t xml:space="preserve"> </w:t>
      </w:r>
      <w:r w:rsidR="00F247CE" w:rsidRPr="00DD7389">
        <w:rPr>
          <w:rFonts w:ascii="Verdana" w:eastAsia="Calibri" w:hAnsi="Verdana"/>
          <w:lang w:val="es-EC" w:eastAsia="en-US"/>
        </w:rPr>
        <w:t xml:space="preserve">los </w:t>
      </w:r>
      <w:r w:rsidR="00C72887" w:rsidRPr="00DD7389">
        <w:rPr>
          <w:rFonts w:ascii="Verdana" w:eastAsia="Calibri" w:hAnsi="Verdana"/>
          <w:lang w:val="es-EC" w:eastAsia="en-US"/>
        </w:rPr>
        <w:t>alumnos</w:t>
      </w:r>
      <w:r w:rsidR="00F247CE" w:rsidRPr="00DD7389">
        <w:rPr>
          <w:rFonts w:ascii="Verdana" w:eastAsia="Calibri" w:hAnsi="Verdana"/>
          <w:lang w:val="es-EC" w:eastAsia="en-US"/>
        </w:rPr>
        <w:t xml:space="preserve"> po</w:t>
      </w:r>
      <w:r w:rsidR="00C72887" w:rsidRPr="00DD7389">
        <w:rPr>
          <w:rFonts w:ascii="Verdana" w:eastAsia="Calibri" w:hAnsi="Verdana"/>
          <w:lang w:val="es-EC" w:eastAsia="en-US"/>
        </w:rPr>
        <w:t xml:space="preserve">r involucrarse en sus actividades </w:t>
      </w:r>
      <w:r w:rsidR="00F247CE" w:rsidRPr="00DD7389">
        <w:rPr>
          <w:rFonts w:ascii="Verdana" w:eastAsia="Calibri" w:hAnsi="Verdana"/>
          <w:lang w:val="es-EC" w:eastAsia="en-US"/>
        </w:rPr>
        <w:t xml:space="preserve">académicas, lo </w:t>
      </w:r>
      <w:r w:rsidR="00C72887" w:rsidRPr="00DD7389">
        <w:rPr>
          <w:rFonts w:ascii="Verdana" w:eastAsia="Calibri" w:hAnsi="Verdana"/>
          <w:lang w:val="es-EC" w:eastAsia="en-US"/>
        </w:rPr>
        <w:t xml:space="preserve">que promueve el logro de </w:t>
      </w:r>
      <w:r w:rsidR="00F247CE" w:rsidRPr="00DD7389">
        <w:rPr>
          <w:rFonts w:ascii="Verdana" w:eastAsia="Calibri" w:hAnsi="Verdana"/>
          <w:lang w:val="es-EC" w:eastAsia="en-US"/>
        </w:rPr>
        <w:t>un aprendizaje significativo.</w:t>
      </w:r>
    </w:p>
    <w:p w:rsidR="00F247CE" w:rsidRPr="008B3758" w:rsidRDefault="00CB359F" w:rsidP="00292E6C">
      <w:pPr>
        <w:keepNext/>
        <w:keepLines/>
        <w:spacing w:before="120" w:after="120"/>
        <w:outlineLvl w:val="2"/>
        <w:rPr>
          <w:rFonts w:ascii="Verdana" w:eastAsia="Calibri" w:hAnsi="Verdana"/>
          <w:lang w:val="es-EC" w:eastAsia="en-US"/>
        </w:rPr>
      </w:pPr>
      <w:bookmarkStart w:id="5" w:name="_Toc87891444"/>
      <w:r w:rsidRPr="008B3758">
        <w:rPr>
          <w:rFonts w:ascii="Verdana" w:eastAsia="Calibri" w:hAnsi="Verdana"/>
          <w:lang w:val="es-EC" w:eastAsia="en-US"/>
        </w:rPr>
        <w:t>Propiedades</w:t>
      </w:r>
      <w:r w:rsidR="00F247CE" w:rsidRPr="008B3758">
        <w:rPr>
          <w:rFonts w:ascii="Verdana" w:eastAsia="Calibri" w:hAnsi="Verdana"/>
          <w:lang w:val="es-EC" w:eastAsia="en-US"/>
        </w:rPr>
        <w:t xml:space="preserve"> de la gamificación</w:t>
      </w:r>
      <w:bookmarkEnd w:id="5"/>
    </w:p>
    <w:p w:rsidR="00F247CE" w:rsidRPr="00DD7389" w:rsidRDefault="0058078F" w:rsidP="00292E6C">
      <w:pPr>
        <w:spacing w:before="120" w:after="120"/>
        <w:jc w:val="both"/>
        <w:rPr>
          <w:rFonts w:ascii="Verdana" w:eastAsia="Calibri" w:hAnsi="Verdana"/>
          <w:lang w:val="es-EC" w:eastAsia="en-US"/>
        </w:rPr>
      </w:pPr>
      <w:r w:rsidRPr="00DD7389">
        <w:rPr>
          <w:rFonts w:ascii="Verdana" w:eastAsia="Calibri" w:hAnsi="Verdana"/>
          <w:lang w:val="es-EC" w:eastAsia="en-US"/>
        </w:rPr>
        <w:t>La gamificación posee diferentes</w:t>
      </w:r>
      <w:r w:rsidR="00F247CE" w:rsidRPr="00DD7389">
        <w:rPr>
          <w:rFonts w:ascii="Verdana" w:eastAsia="Calibri" w:hAnsi="Verdana"/>
          <w:lang w:val="es-EC" w:eastAsia="en-US"/>
        </w:rPr>
        <w:t xml:space="preserve"> carac</w:t>
      </w:r>
      <w:r w:rsidRPr="00DD7389">
        <w:rPr>
          <w:rFonts w:ascii="Verdana" w:eastAsia="Calibri" w:hAnsi="Verdana"/>
          <w:lang w:val="es-EC" w:eastAsia="en-US"/>
        </w:rPr>
        <w:t>terísticas, de las cuales se han identificado</w:t>
      </w:r>
      <w:r w:rsidR="00F247CE" w:rsidRPr="00DD7389">
        <w:rPr>
          <w:rFonts w:ascii="Verdana" w:eastAsia="Calibri" w:hAnsi="Verdana"/>
          <w:lang w:val="es-EC" w:eastAsia="en-US"/>
        </w:rPr>
        <w:t xml:space="preserve"> como principales</w:t>
      </w:r>
      <w:r w:rsidRPr="00DD7389">
        <w:rPr>
          <w:rFonts w:ascii="Verdana" w:eastAsia="Calibri" w:hAnsi="Verdana"/>
          <w:lang w:val="es-EC" w:eastAsia="en-US"/>
        </w:rPr>
        <w:t>, la posibilidad de integrar los elementos lúdicos al contexto educativo, principalmente en el aula: es decir, que emplea el juego, disponiendo de ciertos de sus elementos y herramientas, calificados como estímulos, acciones</w:t>
      </w:r>
      <w:r w:rsidR="00F247CE" w:rsidRPr="00DD7389">
        <w:rPr>
          <w:rFonts w:ascii="Verdana" w:eastAsia="Calibri" w:hAnsi="Verdana"/>
          <w:lang w:val="es-EC" w:eastAsia="en-US"/>
        </w:rPr>
        <w:t xml:space="preserve">, </w:t>
      </w:r>
      <w:r w:rsidRPr="00DD7389">
        <w:rPr>
          <w:rFonts w:ascii="Verdana" w:eastAsia="Calibri" w:hAnsi="Verdana"/>
          <w:lang w:val="es-EC" w:eastAsia="en-US"/>
        </w:rPr>
        <w:t xml:space="preserve">incentivos, </w:t>
      </w:r>
      <w:r w:rsidR="00F247CE" w:rsidRPr="00DD7389">
        <w:rPr>
          <w:rFonts w:ascii="Verdana" w:eastAsia="Calibri" w:hAnsi="Verdana"/>
          <w:lang w:val="es-EC" w:eastAsia="en-US"/>
        </w:rPr>
        <w:t>re</w:t>
      </w:r>
      <w:r w:rsidRPr="00DD7389">
        <w:rPr>
          <w:rFonts w:ascii="Verdana" w:eastAsia="Calibri" w:hAnsi="Verdana"/>
          <w:lang w:val="es-EC" w:eastAsia="en-US"/>
        </w:rPr>
        <w:t>troalimentación, reconocimiento,</w:t>
      </w:r>
      <w:r w:rsidR="00F247CE" w:rsidRPr="00DD7389">
        <w:rPr>
          <w:rFonts w:ascii="Verdana" w:eastAsia="Calibri" w:hAnsi="Verdana"/>
          <w:lang w:val="es-EC" w:eastAsia="en-US"/>
        </w:rPr>
        <w:t xml:space="preserve"> </w:t>
      </w:r>
      <w:r w:rsidRPr="00DD7389">
        <w:rPr>
          <w:rFonts w:ascii="Verdana" w:eastAsia="Calibri" w:hAnsi="Verdana"/>
          <w:lang w:val="es-EC" w:eastAsia="en-US"/>
        </w:rPr>
        <w:t xml:space="preserve">y la alternativa de </w:t>
      </w:r>
      <w:r w:rsidR="00F247CE" w:rsidRPr="00DD7389">
        <w:rPr>
          <w:rFonts w:ascii="Verdana" w:eastAsia="Calibri" w:hAnsi="Verdana"/>
          <w:lang w:val="es-EC" w:eastAsia="en-US"/>
        </w:rPr>
        <w:t>aprender</w:t>
      </w:r>
      <w:r w:rsidRPr="00DD7389">
        <w:rPr>
          <w:rFonts w:ascii="Verdana" w:eastAsia="Calibri" w:hAnsi="Verdana"/>
          <w:lang w:val="es-EC" w:eastAsia="en-US"/>
        </w:rPr>
        <w:t xml:space="preserve"> de los errores, brindándoles valor agregado a las actividades </w:t>
      </w:r>
      <w:r w:rsidR="00F247CE" w:rsidRPr="00DD7389">
        <w:rPr>
          <w:rFonts w:ascii="Verdana" w:eastAsia="Calibri" w:hAnsi="Verdana"/>
          <w:lang w:val="es-EC" w:eastAsia="en-US"/>
        </w:rPr>
        <w:t>de aprendizaje</w:t>
      </w:r>
      <w:r w:rsidR="002D760B" w:rsidRPr="00DD7389">
        <w:rPr>
          <w:rFonts w:ascii="Verdana" w:hAnsi="Verdana"/>
        </w:rPr>
        <w:t xml:space="preserve"> </w:t>
      </w:r>
      <w:sdt>
        <w:sdtPr>
          <w:rPr>
            <w:rFonts w:ascii="Verdana" w:hAnsi="Verdana"/>
          </w:rPr>
          <w:id w:val="-1166926303"/>
          <w:citation/>
        </w:sdtPr>
        <w:sdtEndPr/>
        <w:sdtContent>
          <w:r w:rsidR="002D760B" w:rsidRPr="00DD7389">
            <w:rPr>
              <w:rFonts w:ascii="Verdana" w:hAnsi="Verdana"/>
            </w:rPr>
            <w:fldChar w:fldCharType="begin"/>
          </w:r>
          <w:r w:rsidR="002D760B" w:rsidRPr="00DD7389">
            <w:rPr>
              <w:rFonts w:ascii="Verdana" w:hAnsi="Verdana"/>
            </w:rPr>
            <w:instrText xml:space="preserve"> CITATION Bri152 \l 12298 </w:instrText>
          </w:r>
          <w:r w:rsidR="002D760B" w:rsidRPr="00DD7389">
            <w:rPr>
              <w:rFonts w:ascii="Verdana" w:hAnsi="Verdana"/>
            </w:rPr>
            <w:fldChar w:fldCharType="separate"/>
          </w:r>
          <w:r w:rsidR="002D760B" w:rsidRPr="00DD7389">
            <w:rPr>
              <w:rFonts w:ascii="Verdana" w:hAnsi="Verdana"/>
              <w:noProof/>
            </w:rPr>
            <w:t xml:space="preserve"> (Brigham, 2015)</w:t>
          </w:r>
          <w:r w:rsidR="002D760B" w:rsidRPr="00DD7389">
            <w:rPr>
              <w:rFonts w:ascii="Verdana" w:hAnsi="Verdana"/>
            </w:rPr>
            <w:fldChar w:fldCharType="end"/>
          </w:r>
        </w:sdtContent>
      </w:sdt>
      <w:r w:rsidR="00F247CE" w:rsidRPr="00DD7389">
        <w:rPr>
          <w:rFonts w:ascii="Verdana" w:eastAsia="Calibri" w:hAnsi="Verdana"/>
          <w:lang w:val="es-EC" w:eastAsia="en-US"/>
        </w:rPr>
        <w:t xml:space="preserve">. </w:t>
      </w:r>
      <w:r w:rsidRPr="00DD7389">
        <w:rPr>
          <w:rFonts w:ascii="Verdana" w:eastAsia="Calibri" w:hAnsi="Verdana"/>
          <w:lang w:val="es-EC" w:eastAsia="en-US"/>
        </w:rPr>
        <w:t>Pasando a ser</w:t>
      </w:r>
      <w:r w:rsidR="00F247CE" w:rsidRPr="00DD7389">
        <w:rPr>
          <w:rFonts w:ascii="Verdana" w:eastAsia="Calibri" w:hAnsi="Verdana"/>
          <w:lang w:val="es-EC" w:eastAsia="en-US"/>
        </w:rPr>
        <w:t xml:space="preserve"> una e</w:t>
      </w:r>
      <w:r w:rsidRPr="00DD7389">
        <w:rPr>
          <w:rFonts w:ascii="Verdana" w:eastAsia="Calibri" w:hAnsi="Verdana"/>
          <w:lang w:val="es-EC" w:eastAsia="en-US"/>
        </w:rPr>
        <w:t>strategia de enseñanza que emplea la motivación como parte</w:t>
      </w:r>
      <w:r w:rsidR="00F247CE" w:rsidRPr="00DD7389">
        <w:rPr>
          <w:rFonts w:ascii="Verdana" w:eastAsia="Calibri" w:hAnsi="Verdana"/>
          <w:lang w:val="es-EC" w:eastAsia="en-US"/>
        </w:rPr>
        <w:t xml:space="preserve"> de</w:t>
      </w:r>
      <w:r w:rsidRPr="00DD7389">
        <w:rPr>
          <w:rFonts w:ascii="Verdana" w:eastAsia="Calibri" w:hAnsi="Verdana"/>
          <w:lang w:val="es-EC" w:eastAsia="en-US"/>
        </w:rPr>
        <w:t xml:space="preserve"> la</w:t>
      </w:r>
      <w:r w:rsidR="00F247CE" w:rsidRPr="00DD7389">
        <w:rPr>
          <w:rFonts w:ascii="Verdana" w:eastAsia="Calibri" w:hAnsi="Verdana"/>
          <w:lang w:val="es-EC" w:eastAsia="en-US"/>
        </w:rPr>
        <w:t xml:space="preserve"> enseñanza.</w:t>
      </w:r>
    </w:p>
    <w:p w:rsidR="00F247CE" w:rsidRPr="00DD7389" w:rsidRDefault="00F247CE" w:rsidP="00292E6C">
      <w:pPr>
        <w:spacing w:before="120" w:after="120"/>
        <w:jc w:val="both"/>
        <w:rPr>
          <w:rFonts w:ascii="Verdana" w:eastAsia="Calibri" w:hAnsi="Verdana"/>
          <w:strike/>
          <w:lang w:val="es-EC" w:eastAsia="en-US"/>
        </w:rPr>
      </w:pPr>
      <w:r w:rsidRPr="00DD7389">
        <w:rPr>
          <w:rFonts w:ascii="Verdana" w:eastAsia="Calibri" w:hAnsi="Verdana"/>
          <w:lang w:val="es-EC" w:eastAsia="en-US"/>
        </w:rPr>
        <w:t>El uso del juego como parte del proceso de aprendizaje propicia determinados comportamientos, experiencias enriquecedoras, entre estudiantes en medio de un ambiente estimulante, participativo, comprometido, de apoyo para los pares y logro de objetivos propuestos en las actividades en las cuales se incorpora</w:t>
      </w:r>
      <w:r w:rsidR="004D2493">
        <w:rPr>
          <w:rFonts w:ascii="Verdana" w:eastAsia="Calibri" w:hAnsi="Verdana"/>
          <w:lang w:val="es-EC" w:eastAsia="en-US"/>
        </w:rPr>
        <w:t>.</w:t>
      </w:r>
      <w:r w:rsidR="002D760B" w:rsidRPr="00DD7389">
        <w:rPr>
          <w:rFonts w:ascii="Verdana" w:hAnsi="Verdana"/>
        </w:rPr>
        <w:t xml:space="preserve"> </w:t>
      </w:r>
    </w:p>
    <w:p w:rsidR="00F247CE" w:rsidRPr="008B3758" w:rsidRDefault="00CB359F" w:rsidP="00292E6C">
      <w:pPr>
        <w:keepNext/>
        <w:keepLines/>
        <w:spacing w:before="120" w:after="120"/>
        <w:outlineLvl w:val="2"/>
        <w:rPr>
          <w:rFonts w:ascii="Verdana" w:eastAsia="Calibri" w:hAnsi="Verdana"/>
          <w:lang w:val="es-EC" w:eastAsia="en-US"/>
        </w:rPr>
      </w:pPr>
      <w:bookmarkStart w:id="6" w:name="_Toc87891445"/>
      <w:r w:rsidRPr="008B3758">
        <w:rPr>
          <w:rFonts w:ascii="Verdana" w:eastAsia="Calibri" w:hAnsi="Verdana"/>
          <w:lang w:val="es-EC" w:eastAsia="en-US"/>
        </w:rPr>
        <w:t>Gamificación en</w:t>
      </w:r>
      <w:r w:rsidR="00F247CE" w:rsidRPr="008B3758">
        <w:rPr>
          <w:rFonts w:ascii="Verdana" w:eastAsia="Calibri" w:hAnsi="Verdana"/>
          <w:lang w:val="es-EC" w:eastAsia="en-US"/>
        </w:rPr>
        <w:t xml:space="preserve"> niños </w:t>
      </w:r>
      <w:bookmarkEnd w:id="6"/>
      <w:r w:rsidR="00792C6B">
        <w:rPr>
          <w:rFonts w:ascii="Verdana" w:eastAsia="Calibri" w:hAnsi="Verdana"/>
          <w:lang w:val="es-EC" w:eastAsia="en-US"/>
        </w:rPr>
        <w:t>de preparatoria</w:t>
      </w:r>
    </w:p>
    <w:p w:rsidR="00F247CE" w:rsidRPr="00DD7389" w:rsidRDefault="002D760B" w:rsidP="00292E6C">
      <w:pPr>
        <w:spacing w:before="120" w:after="120"/>
        <w:jc w:val="both"/>
        <w:rPr>
          <w:rFonts w:ascii="Verdana" w:eastAsia="Calibri" w:hAnsi="Verdana"/>
          <w:lang w:val="es-EC" w:eastAsia="en-US"/>
        </w:rPr>
      </w:pPr>
      <w:r w:rsidRPr="00792C6B">
        <w:rPr>
          <w:rFonts w:ascii="Verdana" w:eastAsia="Calibri" w:hAnsi="Verdana"/>
          <w:lang w:val="es-EC" w:eastAsia="en-US"/>
        </w:rPr>
        <w:t>La gamificación como estrategia de enseñanza para los niños es una herramienta que se adapta a la condición de estos, debido a que</w:t>
      </w:r>
      <w:r w:rsidR="00F247CE" w:rsidRPr="00792C6B">
        <w:rPr>
          <w:rFonts w:ascii="Verdana" w:eastAsia="Calibri" w:hAnsi="Verdana"/>
          <w:lang w:val="es-EC" w:eastAsia="en-US"/>
        </w:rPr>
        <w:t xml:space="preserve"> el juego es </w:t>
      </w:r>
      <w:r w:rsidRPr="00792C6B">
        <w:rPr>
          <w:rFonts w:ascii="Verdana" w:eastAsia="Calibri" w:hAnsi="Verdana"/>
          <w:lang w:val="es-EC" w:eastAsia="en-US"/>
        </w:rPr>
        <w:t>una de las actividades principales</w:t>
      </w:r>
      <w:r w:rsidR="00F247CE" w:rsidRPr="00792C6B">
        <w:rPr>
          <w:rFonts w:ascii="Verdana" w:eastAsia="Calibri" w:hAnsi="Verdana"/>
          <w:lang w:val="es-EC" w:eastAsia="en-US"/>
        </w:rPr>
        <w:t xml:space="preserve"> </w:t>
      </w:r>
      <w:r w:rsidRPr="00792C6B">
        <w:rPr>
          <w:rFonts w:ascii="Verdana" w:eastAsia="Calibri" w:hAnsi="Verdana"/>
          <w:lang w:val="es-EC" w:eastAsia="en-US"/>
        </w:rPr>
        <w:t>de sus vidas, mediante, la que se experimentan</w:t>
      </w:r>
      <w:r w:rsidR="00F247CE" w:rsidRPr="00792C6B">
        <w:rPr>
          <w:rFonts w:ascii="Verdana" w:eastAsia="Calibri" w:hAnsi="Verdana"/>
          <w:lang w:val="es-EC" w:eastAsia="en-US"/>
        </w:rPr>
        <w:t xml:space="preserve"> experiencias significati</w:t>
      </w:r>
      <w:r w:rsidR="00047F51" w:rsidRPr="00792C6B">
        <w:rPr>
          <w:rFonts w:ascii="Verdana" w:eastAsia="Calibri" w:hAnsi="Verdana"/>
          <w:lang w:val="es-EC" w:eastAsia="en-US"/>
        </w:rPr>
        <w:t>vas que pasan</w:t>
      </w:r>
      <w:r w:rsidRPr="00792C6B">
        <w:rPr>
          <w:rFonts w:ascii="Verdana" w:eastAsia="Calibri" w:hAnsi="Verdana"/>
          <w:lang w:val="es-EC" w:eastAsia="en-US"/>
        </w:rPr>
        <w:t xml:space="preserve"> a constituir</w:t>
      </w:r>
      <w:r w:rsidR="00F247CE" w:rsidRPr="00792C6B">
        <w:rPr>
          <w:rFonts w:ascii="Verdana" w:eastAsia="Calibri" w:hAnsi="Verdana"/>
          <w:lang w:val="es-EC" w:eastAsia="en-US"/>
        </w:rPr>
        <w:t xml:space="preserve"> parte </w:t>
      </w:r>
      <w:r w:rsidRPr="00792C6B">
        <w:rPr>
          <w:rFonts w:ascii="Verdana" w:eastAsia="Calibri" w:hAnsi="Verdana"/>
          <w:lang w:val="es-EC" w:eastAsia="en-US"/>
        </w:rPr>
        <w:t>de su vida y de los c</w:t>
      </w:r>
      <w:r w:rsidR="00047F51" w:rsidRPr="00792C6B">
        <w:rPr>
          <w:rFonts w:ascii="Verdana" w:eastAsia="Calibri" w:hAnsi="Verdana"/>
          <w:lang w:val="es-EC" w:eastAsia="en-US"/>
        </w:rPr>
        <w:t>onocimientos que se incorporan a</w:t>
      </w:r>
      <w:r w:rsidR="00F247CE" w:rsidRPr="00792C6B">
        <w:rPr>
          <w:rFonts w:ascii="Verdana" w:eastAsia="Calibri" w:hAnsi="Verdana"/>
          <w:lang w:val="es-EC" w:eastAsia="en-US"/>
        </w:rPr>
        <w:t xml:space="preserve"> su estructura mental.  </w:t>
      </w:r>
      <w:r w:rsidRPr="00792C6B">
        <w:rPr>
          <w:rFonts w:ascii="Verdana" w:eastAsia="Calibri" w:hAnsi="Verdana"/>
          <w:lang w:val="es-EC" w:eastAsia="en-US"/>
        </w:rPr>
        <w:t>Mediante esta</w:t>
      </w:r>
      <w:r w:rsidR="00F247CE" w:rsidRPr="00792C6B">
        <w:rPr>
          <w:rFonts w:ascii="Verdana" w:eastAsia="Calibri" w:hAnsi="Verdana"/>
          <w:lang w:val="es-EC" w:eastAsia="en-US"/>
        </w:rPr>
        <w:t xml:space="preserve"> metodología </w:t>
      </w:r>
      <w:r w:rsidRPr="00792C6B">
        <w:rPr>
          <w:rFonts w:ascii="Verdana" w:eastAsia="Calibri" w:hAnsi="Verdana"/>
          <w:lang w:val="es-EC" w:eastAsia="en-US"/>
        </w:rPr>
        <w:t>se emplean</w:t>
      </w:r>
      <w:r w:rsidR="00047F51" w:rsidRPr="00792C6B">
        <w:rPr>
          <w:rFonts w:ascii="Verdana" w:eastAsia="Calibri" w:hAnsi="Verdana"/>
          <w:lang w:val="es-EC" w:eastAsia="en-US"/>
        </w:rPr>
        <w:t>,</w:t>
      </w:r>
      <w:r w:rsidR="00F247CE" w:rsidRPr="00792C6B">
        <w:rPr>
          <w:rFonts w:ascii="Verdana" w:eastAsia="Calibri" w:hAnsi="Verdana"/>
          <w:lang w:val="es-EC" w:eastAsia="en-US"/>
        </w:rPr>
        <w:t xml:space="preserve"> regular</w:t>
      </w:r>
      <w:r w:rsidRPr="00792C6B">
        <w:rPr>
          <w:rFonts w:ascii="Verdana" w:eastAsia="Calibri" w:hAnsi="Verdana"/>
          <w:lang w:val="es-EC" w:eastAsia="en-US"/>
        </w:rPr>
        <w:t>mente juegos pre elaborados, que se adecuan</w:t>
      </w:r>
      <w:r w:rsidR="00F247CE" w:rsidRPr="00792C6B">
        <w:rPr>
          <w:rFonts w:ascii="Verdana" w:eastAsia="Calibri" w:hAnsi="Verdana"/>
          <w:lang w:val="es-EC" w:eastAsia="en-US"/>
        </w:rPr>
        <w:t xml:space="preserve"> al contenido</w:t>
      </w:r>
      <w:r w:rsidRPr="00792C6B">
        <w:rPr>
          <w:rFonts w:ascii="Verdana" w:eastAsia="Calibri" w:hAnsi="Verdana"/>
          <w:lang w:val="es-EC" w:eastAsia="en-US"/>
        </w:rPr>
        <w:t xml:space="preserve"> de aprendizaje o juegos diseñados por los docentes para el contexto educativo. En el nivel de</w:t>
      </w:r>
      <w:r w:rsidR="00792C6B" w:rsidRPr="00792C6B">
        <w:rPr>
          <w:rFonts w:ascii="Verdana" w:eastAsia="Calibri" w:hAnsi="Verdana"/>
          <w:lang w:val="es-EC" w:eastAsia="en-US"/>
        </w:rPr>
        <w:t xml:space="preserve"> educación preparatoria</w:t>
      </w:r>
      <w:r w:rsidRPr="00792C6B">
        <w:rPr>
          <w:rFonts w:ascii="Verdana" w:eastAsia="Calibri" w:hAnsi="Verdana"/>
          <w:lang w:val="es-EC" w:eastAsia="en-US"/>
        </w:rPr>
        <w:t>, el aprendizaje basado e</w:t>
      </w:r>
      <w:r w:rsidR="00047F51" w:rsidRPr="00792C6B">
        <w:rPr>
          <w:rFonts w:ascii="Verdana" w:eastAsia="Calibri" w:hAnsi="Verdana"/>
          <w:lang w:val="es-EC" w:eastAsia="en-US"/>
        </w:rPr>
        <w:t xml:space="preserve">n juegos incentiva los procesos de </w:t>
      </w:r>
      <w:r w:rsidRPr="00792C6B">
        <w:rPr>
          <w:rFonts w:ascii="Verdana" w:eastAsia="Calibri" w:hAnsi="Verdana"/>
          <w:lang w:val="es-EC" w:eastAsia="en-US"/>
        </w:rPr>
        <w:t>construcción</w:t>
      </w:r>
      <w:r w:rsidR="00047F51" w:rsidRPr="00792C6B">
        <w:rPr>
          <w:rFonts w:ascii="Verdana" w:eastAsia="Calibri" w:hAnsi="Verdana"/>
          <w:lang w:val="es-EC" w:eastAsia="en-US"/>
        </w:rPr>
        <w:t xml:space="preserve"> de conocimientos y actitudes para</w:t>
      </w:r>
      <w:r w:rsidR="00F247CE" w:rsidRPr="00792C6B">
        <w:rPr>
          <w:rFonts w:ascii="Verdana" w:eastAsia="Calibri" w:hAnsi="Verdana"/>
          <w:lang w:val="es-EC" w:eastAsia="en-US"/>
        </w:rPr>
        <w:t xml:space="preserve"> el desarrollo de des</w:t>
      </w:r>
      <w:r w:rsidRPr="00792C6B">
        <w:rPr>
          <w:rFonts w:ascii="Verdana" w:eastAsia="Calibri" w:hAnsi="Verdana"/>
          <w:lang w:val="es-EC" w:eastAsia="en-US"/>
        </w:rPr>
        <w:t>trezas escolares. De acuerdo</w:t>
      </w:r>
      <w:r w:rsidR="00047F51" w:rsidRPr="00792C6B">
        <w:rPr>
          <w:rFonts w:ascii="Verdana" w:eastAsia="Calibri" w:hAnsi="Verdana"/>
          <w:lang w:val="es-EC" w:eastAsia="en-US"/>
        </w:rPr>
        <w:t xml:space="preserve"> con ello, Fuentes et al. </w:t>
      </w:r>
      <w:sdt>
        <w:sdtPr>
          <w:rPr>
            <w:rFonts w:ascii="Verdana" w:eastAsia="Calibri" w:hAnsi="Verdana"/>
            <w:lang w:val="es-EC" w:eastAsia="en-US"/>
          </w:rPr>
          <w:id w:val="530848383"/>
          <w:citation/>
        </w:sdtPr>
        <w:sdtEndPr/>
        <w:sdtContent>
          <w:r w:rsidR="00F247CE" w:rsidRPr="00792C6B">
            <w:rPr>
              <w:rFonts w:ascii="Verdana" w:eastAsia="Calibri" w:hAnsi="Verdana"/>
              <w:lang w:val="es-EC" w:eastAsia="en-US"/>
            </w:rPr>
            <w:fldChar w:fldCharType="begin"/>
          </w:r>
          <w:r w:rsidR="00F247CE" w:rsidRPr="00792C6B">
            <w:rPr>
              <w:rFonts w:ascii="Verdana" w:eastAsia="Calibri" w:hAnsi="Verdana"/>
              <w:lang w:val="es-EC" w:eastAsia="en-US"/>
            </w:rPr>
            <w:instrText xml:space="preserve">CITATION Fue16 \n  \t  \l 3082 </w:instrText>
          </w:r>
          <w:r w:rsidR="00F247CE" w:rsidRPr="00792C6B">
            <w:rPr>
              <w:rFonts w:ascii="Verdana" w:eastAsia="Calibri" w:hAnsi="Verdana"/>
              <w:lang w:val="es-EC" w:eastAsia="en-US"/>
            </w:rPr>
            <w:fldChar w:fldCharType="separate"/>
          </w:r>
          <w:r w:rsidR="00F247CE" w:rsidRPr="00792C6B">
            <w:rPr>
              <w:rFonts w:ascii="Verdana" w:eastAsia="Calibri" w:hAnsi="Verdana"/>
              <w:noProof/>
              <w:lang w:val="es-EC" w:eastAsia="en-US"/>
            </w:rPr>
            <w:t>(2016)</w:t>
          </w:r>
          <w:r w:rsidR="00F247CE" w:rsidRPr="00792C6B">
            <w:rPr>
              <w:rFonts w:ascii="Verdana" w:eastAsia="Calibri" w:hAnsi="Verdana"/>
              <w:lang w:val="es-EC" w:eastAsia="en-US"/>
            </w:rPr>
            <w:fldChar w:fldCharType="end"/>
          </w:r>
        </w:sdtContent>
      </w:sdt>
      <w:r w:rsidRPr="00792C6B">
        <w:rPr>
          <w:rFonts w:ascii="Verdana" w:eastAsia="Calibri" w:hAnsi="Verdana"/>
          <w:lang w:val="es-EC" w:eastAsia="en-US"/>
        </w:rPr>
        <w:t xml:space="preserve"> plantea</w:t>
      </w:r>
      <w:r w:rsidR="00047F51" w:rsidRPr="00792C6B">
        <w:rPr>
          <w:rFonts w:ascii="Verdana" w:eastAsia="Calibri" w:hAnsi="Verdana"/>
          <w:lang w:val="es-EC" w:eastAsia="en-US"/>
        </w:rPr>
        <w:t>n</w:t>
      </w:r>
      <w:r w:rsidR="00F247CE" w:rsidRPr="00792C6B">
        <w:rPr>
          <w:rFonts w:ascii="Verdana" w:eastAsia="Calibri" w:hAnsi="Verdana"/>
          <w:lang w:val="es-EC" w:eastAsia="en-US"/>
        </w:rPr>
        <w:t xml:space="preserve"> que:</w:t>
      </w:r>
    </w:p>
    <w:p w:rsidR="00F247CE" w:rsidRPr="00DD7389" w:rsidRDefault="002D760B" w:rsidP="00292E6C">
      <w:pPr>
        <w:spacing w:before="120" w:after="120"/>
        <w:ind w:left="720" w:hanging="11"/>
        <w:jc w:val="both"/>
        <w:rPr>
          <w:rFonts w:ascii="Verdana" w:eastAsia="Calibri" w:hAnsi="Verdana"/>
          <w:lang w:val="es-EC" w:eastAsia="en-US"/>
        </w:rPr>
      </w:pPr>
      <w:r w:rsidRPr="00DD7389">
        <w:rPr>
          <w:rFonts w:ascii="Verdana" w:eastAsia="Calibri" w:hAnsi="Verdana"/>
          <w:lang w:val="es-EC" w:eastAsia="en-US"/>
        </w:rPr>
        <w:lastRenderedPageBreak/>
        <w:t>Observando las distintas dimensiones que forman</w:t>
      </w:r>
      <w:r w:rsidR="00F247CE" w:rsidRPr="00DD7389">
        <w:rPr>
          <w:rFonts w:ascii="Verdana" w:eastAsia="Calibri" w:hAnsi="Verdana"/>
          <w:lang w:val="es-EC" w:eastAsia="en-US"/>
        </w:rPr>
        <w:t xml:space="preserve"> parte </w:t>
      </w:r>
      <w:r w:rsidRPr="00DD7389">
        <w:rPr>
          <w:rFonts w:ascii="Verdana" w:eastAsia="Calibri" w:hAnsi="Verdana"/>
          <w:lang w:val="es-EC" w:eastAsia="en-US"/>
        </w:rPr>
        <w:t>del proceso de significado, desarrollado tanto por la actividad lúdica como por los juegos, sus</w:t>
      </w:r>
      <w:r w:rsidR="00F247CE" w:rsidRPr="00DD7389">
        <w:rPr>
          <w:rFonts w:ascii="Verdana" w:eastAsia="Calibri" w:hAnsi="Verdana"/>
          <w:lang w:val="es-EC" w:eastAsia="en-US"/>
        </w:rPr>
        <w:t xml:space="preserve"> productos y materiales del</w:t>
      </w:r>
      <w:r w:rsidRPr="00DD7389">
        <w:rPr>
          <w:rFonts w:ascii="Verdana" w:eastAsia="Calibri" w:hAnsi="Verdana"/>
          <w:lang w:val="es-EC" w:eastAsia="en-US"/>
        </w:rPr>
        <w:t xml:space="preserve"> aula, por lo que se puede expresar que los videojuegos,</w:t>
      </w:r>
      <w:r w:rsidR="006C37B7" w:rsidRPr="00DD7389">
        <w:rPr>
          <w:rFonts w:ascii="Verdana" w:eastAsia="Calibri" w:hAnsi="Verdana"/>
          <w:lang w:val="es-EC" w:eastAsia="en-US"/>
        </w:rPr>
        <w:t xml:space="preserve"> facilitan la instauración</w:t>
      </w:r>
      <w:r w:rsidRPr="00DD7389">
        <w:rPr>
          <w:rFonts w:ascii="Verdana" w:eastAsia="Calibri" w:hAnsi="Verdana"/>
          <w:lang w:val="es-EC" w:eastAsia="en-US"/>
        </w:rPr>
        <w:t xml:space="preserve"> </w:t>
      </w:r>
      <w:r w:rsidR="00F247CE" w:rsidRPr="00DD7389">
        <w:rPr>
          <w:rFonts w:ascii="Verdana" w:eastAsia="Calibri" w:hAnsi="Verdana"/>
          <w:lang w:val="es-EC" w:eastAsia="en-US"/>
        </w:rPr>
        <w:t xml:space="preserve"> de competencias sociales </w:t>
      </w:r>
      <w:sdt>
        <w:sdtPr>
          <w:rPr>
            <w:rFonts w:ascii="Verdana" w:eastAsia="Calibri" w:hAnsi="Verdana"/>
            <w:lang w:val="es-EC" w:eastAsia="en-US"/>
          </w:rPr>
          <w:id w:val="-885021221"/>
          <w:citation/>
        </w:sdtPr>
        <w:sdtEndPr/>
        <w:sdtContent>
          <w:r w:rsidR="00F247CE" w:rsidRPr="00DD7389">
            <w:rPr>
              <w:rFonts w:ascii="Verdana" w:eastAsia="Calibri" w:hAnsi="Verdana"/>
              <w:lang w:val="es-EC" w:eastAsia="en-US"/>
            </w:rPr>
            <w:fldChar w:fldCharType="begin"/>
          </w:r>
          <w:r w:rsidR="00F247CE" w:rsidRPr="00DD7389">
            <w:rPr>
              <w:rFonts w:ascii="Verdana" w:eastAsia="Calibri" w:hAnsi="Verdana"/>
              <w:lang w:val="es-EC" w:eastAsia="en-US"/>
            </w:rPr>
            <w:instrText xml:space="preserve">CITATION Fue16 \p 1241 \n  \y  \t  \l 3082 </w:instrText>
          </w:r>
          <w:r w:rsidR="00F247CE" w:rsidRPr="00DD7389">
            <w:rPr>
              <w:rFonts w:ascii="Verdana" w:eastAsia="Calibri" w:hAnsi="Verdana"/>
              <w:lang w:val="es-EC" w:eastAsia="en-US"/>
            </w:rPr>
            <w:fldChar w:fldCharType="separate"/>
          </w:r>
          <w:r w:rsidR="00F247CE" w:rsidRPr="00DD7389">
            <w:rPr>
              <w:rFonts w:ascii="Verdana" w:eastAsia="Calibri" w:hAnsi="Verdana"/>
              <w:noProof/>
              <w:lang w:val="es-EC" w:eastAsia="en-US"/>
            </w:rPr>
            <w:t>(p. 1241)</w:t>
          </w:r>
          <w:r w:rsidR="00F247CE" w:rsidRPr="00DD7389">
            <w:rPr>
              <w:rFonts w:ascii="Verdana" w:eastAsia="Calibri" w:hAnsi="Verdana"/>
              <w:lang w:val="es-EC" w:eastAsia="en-US"/>
            </w:rPr>
            <w:fldChar w:fldCharType="end"/>
          </w:r>
        </w:sdtContent>
      </w:sdt>
      <w:r w:rsidR="00F247CE" w:rsidRPr="00DD7389">
        <w:rPr>
          <w:rFonts w:ascii="Verdana" w:eastAsia="Calibri" w:hAnsi="Verdana"/>
          <w:lang w:val="es-EC" w:eastAsia="en-US"/>
        </w:rPr>
        <w:t>.</w:t>
      </w:r>
    </w:p>
    <w:p w:rsidR="00F247CE" w:rsidRPr="00DD7389" w:rsidRDefault="00312B16" w:rsidP="00292E6C">
      <w:pPr>
        <w:spacing w:before="120" w:after="120"/>
        <w:jc w:val="both"/>
        <w:rPr>
          <w:rFonts w:ascii="Verdana" w:eastAsia="Calibri" w:hAnsi="Verdana"/>
          <w:lang w:val="es-EC" w:eastAsia="en-US"/>
        </w:rPr>
      </w:pPr>
      <w:r w:rsidRPr="00DD7389">
        <w:rPr>
          <w:rFonts w:ascii="Verdana" w:eastAsia="Calibri" w:hAnsi="Verdana"/>
          <w:lang w:val="es-EC" w:eastAsia="en-US"/>
        </w:rPr>
        <w:t xml:space="preserve">Interpretando lo enunciado por Fuentes et al.  </w:t>
      </w:r>
      <w:sdt>
        <w:sdtPr>
          <w:rPr>
            <w:rFonts w:ascii="Verdana" w:eastAsia="Calibri" w:hAnsi="Verdana"/>
            <w:lang w:val="es-EC" w:eastAsia="en-US"/>
          </w:rPr>
          <w:id w:val="1693192667"/>
          <w:citation/>
        </w:sdtPr>
        <w:sdtEndPr/>
        <w:sdtContent>
          <w:r w:rsidRPr="00DD7389">
            <w:rPr>
              <w:rFonts w:ascii="Verdana" w:eastAsia="Calibri" w:hAnsi="Verdana"/>
              <w:lang w:val="es-EC" w:eastAsia="en-US"/>
            </w:rPr>
            <w:fldChar w:fldCharType="begin"/>
          </w:r>
          <w:r w:rsidRPr="00DD7389">
            <w:rPr>
              <w:rFonts w:ascii="Verdana" w:eastAsia="Calibri" w:hAnsi="Verdana"/>
              <w:lang w:val="es-EC" w:eastAsia="en-US"/>
            </w:rPr>
            <w:instrText xml:space="preserve">CITATION Fue16 \n  \t  \l 3082 </w:instrText>
          </w:r>
          <w:r w:rsidRPr="00DD7389">
            <w:rPr>
              <w:rFonts w:ascii="Verdana" w:eastAsia="Calibri" w:hAnsi="Verdana"/>
              <w:lang w:val="es-EC" w:eastAsia="en-US"/>
            </w:rPr>
            <w:fldChar w:fldCharType="separate"/>
          </w:r>
          <w:r w:rsidRPr="00DD7389">
            <w:rPr>
              <w:rFonts w:ascii="Verdana" w:eastAsia="Calibri" w:hAnsi="Verdana"/>
              <w:noProof/>
              <w:lang w:val="es-EC" w:eastAsia="en-US"/>
            </w:rPr>
            <w:t>(2016)</w:t>
          </w:r>
          <w:r w:rsidRPr="00DD7389">
            <w:rPr>
              <w:rFonts w:ascii="Verdana" w:eastAsia="Calibri" w:hAnsi="Verdana"/>
              <w:lang w:val="es-EC" w:eastAsia="en-US"/>
            </w:rPr>
            <w:fldChar w:fldCharType="end"/>
          </w:r>
        </w:sdtContent>
      </w:sdt>
      <w:r w:rsidRPr="00DD7389">
        <w:rPr>
          <w:rFonts w:ascii="Verdana" w:eastAsia="Calibri" w:hAnsi="Verdana"/>
          <w:lang w:val="es-EC" w:eastAsia="en-US"/>
        </w:rPr>
        <w:t xml:space="preserve"> hace mención, al uso de juegos como instrumento de enseñanza, la cual implica</w:t>
      </w:r>
      <w:r w:rsidR="00F247CE" w:rsidRPr="00DD7389">
        <w:rPr>
          <w:rFonts w:ascii="Verdana" w:eastAsia="Calibri" w:hAnsi="Verdana"/>
          <w:lang w:val="es-EC" w:eastAsia="en-US"/>
        </w:rPr>
        <w:t xml:space="preserve"> juegos diseñados</w:t>
      </w:r>
      <w:r w:rsidRPr="00DD7389">
        <w:rPr>
          <w:rFonts w:ascii="Verdana" w:eastAsia="Calibri" w:hAnsi="Verdana"/>
          <w:lang w:val="es-EC" w:eastAsia="en-US"/>
        </w:rPr>
        <w:t xml:space="preserve"> por docentes</w:t>
      </w:r>
      <w:r w:rsidR="00F247CE" w:rsidRPr="00DD7389">
        <w:rPr>
          <w:rFonts w:ascii="Verdana" w:eastAsia="Calibri" w:hAnsi="Verdana"/>
          <w:lang w:val="es-EC" w:eastAsia="en-US"/>
        </w:rPr>
        <w:t xml:space="preserve"> para ese contexto; que </w:t>
      </w:r>
      <w:r w:rsidRPr="00DD7389">
        <w:rPr>
          <w:rFonts w:ascii="Verdana" w:eastAsia="Calibri" w:hAnsi="Verdana"/>
          <w:lang w:val="es-EC" w:eastAsia="en-US"/>
        </w:rPr>
        <w:t>utilizan una mecánica preestablecida, ya sean o no digitales, pero si adecuadas al objetivo de actuar</w:t>
      </w:r>
      <w:r w:rsidR="00F247CE" w:rsidRPr="00DD7389">
        <w:rPr>
          <w:rFonts w:ascii="Verdana" w:eastAsia="Calibri" w:hAnsi="Verdana"/>
          <w:lang w:val="es-EC" w:eastAsia="en-US"/>
        </w:rPr>
        <w:t xml:space="preserve"> en un equili</w:t>
      </w:r>
      <w:r w:rsidR="000309F4" w:rsidRPr="00DD7389">
        <w:rPr>
          <w:rFonts w:ascii="Verdana" w:eastAsia="Calibri" w:hAnsi="Verdana"/>
          <w:lang w:val="es-EC" w:eastAsia="en-US"/>
        </w:rPr>
        <w:t>brio entre el niño y su contexto</w:t>
      </w:r>
      <w:r w:rsidR="00F247CE" w:rsidRPr="00DD7389">
        <w:rPr>
          <w:rFonts w:ascii="Verdana" w:eastAsia="Calibri" w:hAnsi="Verdana"/>
          <w:lang w:val="es-EC" w:eastAsia="en-US"/>
        </w:rPr>
        <w:t xml:space="preserve"> educativo. </w:t>
      </w:r>
      <w:bookmarkStart w:id="7" w:name="_Toc57449026"/>
      <w:bookmarkStart w:id="8" w:name="_Toc76038824"/>
    </w:p>
    <w:bookmarkEnd w:id="7"/>
    <w:bookmarkEnd w:id="8"/>
    <w:p w:rsidR="00D70B1E" w:rsidRPr="00DD7389" w:rsidRDefault="00D70B1E" w:rsidP="005D59DD">
      <w:pPr>
        <w:spacing w:before="120" w:after="120"/>
        <w:jc w:val="both"/>
        <w:rPr>
          <w:rFonts w:ascii="Verdana" w:eastAsia="Calibri" w:hAnsi="Verdana"/>
          <w:lang w:val="es-EC" w:eastAsia="en-US"/>
        </w:rPr>
      </w:pPr>
      <w:r w:rsidRPr="00DD7389">
        <w:rPr>
          <w:rFonts w:ascii="Verdana" w:eastAsia="Calibri" w:hAnsi="Verdana"/>
          <w:lang w:val="es-EC" w:eastAsia="en-US"/>
        </w:rPr>
        <w:t>La gamificación se conforma por una variedad</w:t>
      </w:r>
      <w:r w:rsidR="00F247CE" w:rsidRPr="00DD7389">
        <w:rPr>
          <w:rFonts w:ascii="Verdana" w:eastAsia="Calibri" w:hAnsi="Verdana"/>
          <w:lang w:val="es-EC" w:eastAsia="en-US"/>
        </w:rPr>
        <w:t xml:space="preserve"> de ele</w:t>
      </w:r>
      <w:r w:rsidRPr="00DD7389">
        <w:rPr>
          <w:rFonts w:ascii="Verdana" w:eastAsia="Calibri" w:hAnsi="Verdana"/>
          <w:lang w:val="es-EC" w:eastAsia="en-US"/>
        </w:rPr>
        <w:t xml:space="preserve">mentos como estatus visible, </w:t>
      </w:r>
      <w:r w:rsidR="00F247CE" w:rsidRPr="00DD7389">
        <w:rPr>
          <w:rFonts w:ascii="Verdana" w:eastAsia="Calibri" w:hAnsi="Verdana"/>
          <w:lang w:val="es-EC" w:eastAsia="en-US"/>
        </w:rPr>
        <w:t>objetivos,</w:t>
      </w:r>
      <w:r w:rsidRPr="00DD7389">
        <w:rPr>
          <w:rFonts w:ascii="Verdana" w:eastAsia="Calibri" w:hAnsi="Verdana"/>
          <w:lang w:val="es-EC" w:eastAsia="en-US"/>
        </w:rPr>
        <w:t xml:space="preserve"> metas,</w:t>
      </w:r>
      <w:r w:rsidR="00F247CE" w:rsidRPr="00DD7389">
        <w:rPr>
          <w:rFonts w:ascii="Verdana" w:eastAsia="Calibri" w:hAnsi="Verdana"/>
          <w:lang w:val="es-EC" w:eastAsia="en-US"/>
        </w:rPr>
        <w:t xml:space="preserve"> reglas, </w:t>
      </w:r>
      <w:r w:rsidRPr="00DD7389">
        <w:rPr>
          <w:rFonts w:ascii="Verdana" w:eastAsia="Calibri" w:hAnsi="Verdana"/>
          <w:lang w:val="es-EC" w:eastAsia="en-US"/>
        </w:rPr>
        <w:t xml:space="preserve">retroalimentación, </w:t>
      </w:r>
      <w:r w:rsidR="00F247CE" w:rsidRPr="00DD7389">
        <w:rPr>
          <w:rFonts w:ascii="Verdana" w:eastAsia="Calibri" w:hAnsi="Verdana"/>
          <w:lang w:val="es-EC" w:eastAsia="en-US"/>
        </w:rPr>
        <w:t xml:space="preserve">recompensas, narrativa, </w:t>
      </w:r>
      <w:r w:rsidRPr="00DD7389">
        <w:rPr>
          <w:rFonts w:ascii="Verdana" w:eastAsia="Calibri" w:hAnsi="Verdana"/>
          <w:lang w:val="es-EC" w:eastAsia="en-US"/>
        </w:rPr>
        <w:t>posibilidad de elegir, alternativa</w:t>
      </w:r>
      <w:r w:rsidR="00F247CE" w:rsidRPr="00DD7389">
        <w:rPr>
          <w:rFonts w:ascii="Verdana" w:eastAsia="Calibri" w:hAnsi="Verdana"/>
          <w:lang w:val="es-EC" w:eastAsia="en-US"/>
        </w:rPr>
        <w:t xml:space="preserve"> de equivocarse, </w:t>
      </w:r>
      <w:r w:rsidRPr="00DD7389">
        <w:rPr>
          <w:rFonts w:ascii="Verdana" w:eastAsia="Calibri" w:hAnsi="Verdana"/>
          <w:lang w:val="es-EC" w:eastAsia="en-US"/>
        </w:rPr>
        <w:t xml:space="preserve">competencia, cooperación, </w:t>
      </w:r>
      <w:r w:rsidR="00F247CE" w:rsidRPr="00DD7389">
        <w:rPr>
          <w:rFonts w:ascii="Verdana" w:eastAsia="Calibri" w:hAnsi="Verdana"/>
          <w:lang w:val="es-EC" w:eastAsia="en-US"/>
        </w:rPr>
        <w:t>tiempo</w:t>
      </w:r>
      <w:r w:rsidRPr="00DD7389">
        <w:rPr>
          <w:rFonts w:ascii="Verdana" w:eastAsia="Calibri" w:hAnsi="Verdana"/>
          <w:lang w:val="es-EC" w:eastAsia="en-US"/>
        </w:rPr>
        <w:t xml:space="preserve"> delimitado</w:t>
      </w:r>
      <w:r w:rsidR="00F247CE" w:rsidRPr="00DD7389">
        <w:rPr>
          <w:rFonts w:ascii="Verdana" w:eastAsia="Calibri" w:hAnsi="Verdana"/>
          <w:lang w:val="es-EC" w:eastAsia="en-US"/>
        </w:rPr>
        <w:t>, progreso y la</w:t>
      </w:r>
      <w:r w:rsidRPr="00DD7389">
        <w:rPr>
          <w:rFonts w:ascii="Verdana" w:eastAsia="Calibri" w:hAnsi="Verdana"/>
          <w:lang w:val="es-EC" w:eastAsia="en-US"/>
        </w:rPr>
        <w:t>s denominadas</w:t>
      </w:r>
      <w:r w:rsidR="00F247CE" w:rsidRPr="00DD7389">
        <w:rPr>
          <w:rFonts w:ascii="Verdana" w:eastAsia="Calibri" w:hAnsi="Verdana"/>
          <w:lang w:val="es-EC" w:eastAsia="en-US"/>
        </w:rPr>
        <w:t xml:space="preserve"> sorpresa</w:t>
      </w:r>
      <w:r w:rsidRPr="00DD7389">
        <w:rPr>
          <w:rFonts w:ascii="Verdana" w:eastAsia="Calibri" w:hAnsi="Verdana"/>
          <w:lang w:val="es-EC" w:eastAsia="en-US"/>
        </w:rPr>
        <w:t>s</w:t>
      </w:r>
      <w:r w:rsidR="005D59DD">
        <w:rPr>
          <w:rFonts w:ascii="Verdana" w:eastAsia="Calibri" w:hAnsi="Verdana"/>
          <w:lang w:val="es-EC" w:eastAsia="en-US"/>
        </w:rPr>
        <w:t>, los cuales orientan el desarrollo de las actividades y forman parte del ambiente que se crea para que los estudiantes se compenetren con el juego serio.</w:t>
      </w:r>
    </w:p>
    <w:p w:rsidR="0074270E" w:rsidRPr="008B3758" w:rsidRDefault="001D7B3E" w:rsidP="00292E6C">
      <w:pPr>
        <w:spacing w:before="120" w:after="120"/>
        <w:jc w:val="both"/>
        <w:rPr>
          <w:rFonts w:ascii="Verdana" w:eastAsia="Calibri" w:hAnsi="Verdana"/>
          <w:shd w:val="clear" w:color="auto" w:fill="FFFFFF"/>
          <w:lang w:val="es-EC" w:eastAsia="en-US"/>
        </w:rPr>
      </w:pPr>
      <w:r w:rsidRPr="008B3758">
        <w:rPr>
          <w:rFonts w:ascii="Verdana" w:eastAsia="Calibri" w:hAnsi="Verdana"/>
          <w:shd w:val="clear" w:color="auto" w:fill="FFFFFF"/>
          <w:lang w:val="es-EC" w:eastAsia="en-US"/>
        </w:rPr>
        <w:t>H</w:t>
      </w:r>
      <w:r w:rsidR="00441238" w:rsidRPr="008B3758">
        <w:rPr>
          <w:rFonts w:ascii="Verdana" w:eastAsia="Calibri" w:hAnsi="Verdana"/>
          <w:shd w:val="clear" w:color="auto" w:fill="FFFFFF"/>
          <w:lang w:val="es-EC" w:eastAsia="en-US"/>
        </w:rPr>
        <w:t>abilidades cognitivas</w:t>
      </w:r>
    </w:p>
    <w:p w:rsidR="00441238" w:rsidRPr="0074270E" w:rsidRDefault="00441238" w:rsidP="00292E6C">
      <w:pPr>
        <w:spacing w:before="120" w:after="120"/>
        <w:jc w:val="both"/>
        <w:rPr>
          <w:rFonts w:ascii="Verdana" w:eastAsia="Calibri" w:hAnsi="Verdana"/>
          <w:b/>
          <w:shd w:val="clear" w:color="auto" w:fill="FFFFFF"/>
          <w:lang w:val="es-EC" w:eastAsia="en-US"/>
        </w:rPr>
      </w:pPr>
      <w:r w:rsidRPr="00DD7389">
        <w:rPr>
          <w:rFonts w:ascii="Verdana" w:eastAsia="Arial" w:hAnsi="Verdana"/>
          <w:lang w:eastAsia="en-US"/>
        </w:rPr>
        <w:t xml:space="preserve">Las habilidades cognitivas </w:t>
      </w:r>
      <w:r w:rsidR="00425002" w:rsidRPr="00DD7389">
        <w:rPr>
          <w:rFonts w:ascii="Verdana" w:eastAsia="Arial" w:hAnsi="Verdana"/>
          <w:lang w:eastAsia="en-US"/>
        </w:rPr>
        <w:t>son consideradas</w:t>
      </w:r>
      <w:r w:rsidRPr="00DD7389">
        <w:rPr>
          <w:rFonts w:ascii="Verdana" w:eastAsia="Arial" w:hAnsi="Verdana"/>
          <w:lang w:eastAsia="en-US"/>
        </w:rPr>
        <w:t xml:space="preserve"> como procesos</w:t>
      </w:r>
      <w:r w:rsidR="00425002" w:rsidRPr="00DD7389">
        <w:rPr>
          <w:rFonts w:ascii="Verdana" w:eastAsia="Arial" w:hAnsi="Verdana"/>
          <w:lang w:eastAsia="en-US"/>
        </w:rPr>
        <w:t xml:space="preserve"> ejecutados mentalmente, regularmente de manera inconsciente, haciendo uso de habilidades innatas y aprendidas por los seres humanos mediante las cuales se procesa la información proveniente del medio, por lo cual se les asocia con la percepción, atención, concentración, memoria, resolución de problemas y hasta la creatividad. No obstante</w:t>
      </w:r>
      <w:r w:rsidRPr="00DD7389">
        <w:rPr>
          <w:rFonts w:ascii="Verdana" w:eastAsia="Arial" w:hAnsi="Verdana"/>
          <w:lang w:eastAsia="en-US"/>
        </w:rPr>
        <w:t>, desde otras</w:t>
      </w:r>
      <w:r w:rsidR="00425002" w:rsidRPr="00DD7389">
        <w:rPr>
          <w:rFonts w:ascii="Verdana" w:eastAsia="Arial" w:hAnsi="Verdana"/>
          <w:lang w:eastAsia="en-US"/>
        </w:rPr>
        <w:t xml:space="preserve"> perspectivas pueden ser realizados de forma intencional, evidenciando un mayor control sobre las mismas</w:t>
      </w:r>
      <w:r w:rsidRPr="00DD7389">
        <w:rPr>
          <w:rFonts w:ascii="Verdana" w:eastAsia="Arial" w:hAnsi="Verdana"/>
          <w:lang w:eastAsia="en-US"/>
        </w:rPr>
        <w:t>. Estas</w:t>
      </w:r>
      <w:r w:rsidR="00425002" w:rsidRPr="00DD7389">
        <w:rPr>
          <w:rFonts w:ascii="Verdana" w:eastAsia="Arial" w:hAnsi="Verdana"/>
          <w:lang w:eastAsia="en-US"/>
        </w:rPr>
        <w:t xml:space="preserve"> se</w:t>
      </w:r>
      <w:r w:rsidRPr="00DD7389">
        <w:rPr>
          <w:rFonts w:ascii="Verdana" w:eastAsia="Arial" w:hAnsi="Verdana"/>
          <w:lang w:eastAsia="en-US"/>
        </w:rPr>
        <w:t xml:space="preserve"> encuentra</w:t>
      </w:r>
      <w:r w:rsidR="00425002" w:rsidRPr="00DD7389">
        <w:rPr>
          <w:rFonts w:ascii="Verdana" w:eastAsia="Arial" w:hAnsi="Verdana"/>
          <w:lang w:eastAsia="en-US"/>
        </w:rPr>
        <w:t>n</w:t>
      </w:r>
      <w:r w:rsidRPr="00DD7389">
        <w:rPr>
          <w:rFonts w:ascii="Verdana" w:eastAsia="Arial" w:hAnsi="Verdana"/>
          <w:lang w:eastAsia="en-US"/>
        </w:rPr>
        <w:t xml:space="preserve"> clasificadas en b</w:t>
      </w:r>
      <w:r w:rsidR="00425002" w:rsidRPr="00DD7389">
        <w:rPr>
          <w:rFonts w:ascii="Verdana" w:eastAsia="Arial" w:hAnsi="Verdana"/>
          <w:lang w:eastAsia="en-US"/>
        </w:rPr>
        <w:t>ásicas y superiores, aunque actualmente, existen otras</w:t>
      </w:r>
      <w:r w:rsidRPr="00DD7389">
        <w:rPr>
          <w:rFonts w:ascii="Verdana" w:eastAsia="Arial" w:hAnsi="Verdana"/>
          <w:lang w:eastAsia="en-US"/>
        </w:rPr>
        <w:t xml:space="preserve"> c</w:t>
      </w:r>
      <w:r w:rsidR="00425002" w:rsidRPr="00DD7389">
        <w:rPr>
          <w:rFonts w:ascii="Verdana" w:eastAsia="Arial" w:hAnsi="Verdana"/>
          <w:lang w:eastAsia="en-US"/>
        </w:rPr>
        <w:t>lasificaciones, las básicas son comprendidas como centrales y coadyuvan a desarrollar</w:t>
      </w:r>
      <w:r w:rsidRPr="00DD7389">
        <w:rPr>
          <w:rFonts w:ascii="Verdana" w:eastAsia="Arial" w:hAnsi="Verdana"/>
          <w:lang w:eastAsia="en-US"/>
        </w:rPr>
        <w:t xml:space="preserve"> las habilida</w:t>
      </w:r>
      <w:r w:rsidR="00425002" w:rsidRPr="00DD7389">
        <w:rPr>
          <w:rFonts w:ascii="Verdana" w:eastAsia="Arial" w:hAnsi="Verdana"/>
          <w:lang w:eastAsia="en-US"/>
        </w:rPr>
        <w:t>des cognitivas superiores, las cuales pueden ser empleadas en distintas ocasiones</w:t>
      </w:r>
      <w:r w:rsidRPr="00DD7389">
        <w:rPr>
          <w:rFonts w:ascii="Verdana" w:eastAsia="Arial" w:hAnsi="Verdana"/>
          <w:lang w:eastAsia="en-US"/>
        </w:rPr>
        <w:t xml:space="preserve"> en diferentes momentos del proceso de pensamiento</w:t>
      </w:r>
      <w:r w:rsidR="00CB359F" w:rsidRPr="00DD7389">
        <w:rPr>
          <w:rFonts w:ascii="Verdana" w:hAnsi="Verdana"/>
          <w:shd w:val="clear" w:color="auto" w:fill="FFFFFF"/>
        </w:rPr>
        <w:t xml:space="preserve"> </w:t>
      </w:r>
      <w:sdt>
        <w:sdtPr>
          <w:rPr>
            <w:rFonts w:ascii="Verdana" w:hAnsi="Verdana"/>
            <w:shd w:val="clear" w:color="auto" w:fill="FFFFFF"/>
          </w:rPr>
          <w:id w:val="-312416409"/>
          <w:citation/>
        </w:sdtPr>
        <w:sdtEndPr/>
        <w:sdtContent>
          <w:r w:rsidR="00CB359F" w:rsidRPr="00DD7389">
            <w:rPr>
              <w:rFonts w:ascii="Verdana" w:hAnsi="Verdana"/>
              <w:shd w:val="clear" w:color="auto" w:fill="FFFFFF"/>
            </w:rPr>
            <w:fldChar w:fldCharType="begin"/>
          </w:r>
          <w:r w:rsidR="00CB359F" w:rsidRPr="00DD7389">
            <w:rPr>
              <w:rFonts w:ascii="Verdana" w:hAnsi="Verdana"/>
              <w:shd w:val="clear" w:color="auto" w:fill="FFFFFF"/>
            </w:rPr>
            <w:instrText xml:space="preserve"> CITATION Che201 \l 12298 </w:instrText>
          </w:r>
          <w:r w:rsidR="00CB359F" w:rsidRPr="00DD7389">
            <w:rPr>
              <w:rFonts w:ascii="Verdana" w:hAnsi="Verdana"/>
              <w:shd w:val="clear" w:color="auto" w:fill="FFFFFF"/>
            </w:rPr>
            <w:fldChar w:fldCharType="separate"/>
          </w:r>
          <w:r w:rsidR="00CB359F" w:rsidRPr="00DD7389">
            <w:rPr>
              <w:rFonts w:ascii="Verdana" w:hAnsi="Verdana"/>
              <w:noProof/>
              <w:shd w:val="clear" w:color="auto" w:fill="FFFFFF"/>
            </w:rPr>
            <w:t xml:space="preserve"> (Cheng, 2020)</w:t>
          </w:r>
          <w:r w:rsidR="00CB359F" w:rsidRPr="00DD7389">
            <w:rPr>
              <w:rFonts w:ascii="Verdana" w:hAnsi="Verdana"/>
              <w:shd w:val="clear" w:color="auto" w:fill="FFFFFF"/>
            </w:rPr>
            <w:fldChar w:fldCharType="end"/>
          </w:r>
        </w:sdtContent>
      </w:sdt>
      <w:r w:rsidRPr="00DD7389">
        <w:rPr>
          <w:rFonts w:ascii="Verdana" w:eastAsia="Arial" w:hAnsi="Verdana"/>
          <w:lang w:eastAsia="en-US"/>
        </w:rPr>
        <w:t>.</w:t>
      </w:r>
    </w:p>
    <w:p w:rsidR="001D7B3E" w:rsidRDefault="00425002" w:rsidP="00292E6C">
      <w:pPr>
        <w:spacing w:after="120"/>
        <w:contextualSpacing/>
        <w:jc w:val="both"/>
        <w:rPr>
          <w:rFonts w:ascii="Verdana" w:eastAsia="Arial" w:hAnsi="Verdana"/>
          <w:lang w:eastAsia="en-US"/>
        </w:rPr>
      </w:pPr>
      <w:r w:rsidRPr="00DD7389">
        <w:rPr>
          <w:rFonts w:ascii="Verdana" w:eastAsia="Arial" w:hAnsi="Verdana"/>
          <w:lang w:eastAsia="en-US"/>
        </w:rPr>
        <w:t>Entre las</w:t>
      </w:r>
      <w:r w:rsidR="00441238" w:rsidRPr="00DD7389">
        <w:rPr>
          <w:rFonts w:ascii="Verdana" w:eastAsia="Arial" w:hAnsi="Verdana"/>
          <w:lang w:eastAsia="en-US"/>
        </w:rPr>
        <w:t xml:space="preserve"> clasificaciones de las habilida</w:t>
      </w:r>
      <w:r w:rsidRPr="00DD7389">
        <w:rPr>
          <w:rFonts w:ascii="Verdana" w:eastAsia="Arial" w:hAnsi="Verdana"/>
          <w:lang w:eastAsia="en-US"/>
        </w:rPr>
        <w:t>des cognitivas, se encuentran los planteamientos desarrollados por</w:t>
      </w:r>
      <w:r w:rsidR="00CB359F" w:rsidRPr="00DD7389">
        <w:rPr>
          <w:rFonts w:ascii="Verdana" w:eastAsia="Arial" w:hAnsi="Verdana"/>
          <w:lang w:eastAsia="en-US"/>
        </w:rPr>
        <w:t xml:space="preserve"> </w:t>
      </w:r>
      <w:proofErr w:type="spellStart"/>
      <w:r w:rsidR="00CB359F" w:rsidRPr="00DD7389">
        <w:rPr>
          <w:rFonts w:ascii="Verdana" w:eastAsia="Arial" w:hAnsi="Verdana"/>
          <w:lang w:eastAsia="en-US"/>
        </w:rPr>
        <w:t>Guilford</w:t>
      </w:r>
      <w:proofErr w:type="spellEnd"/>
      <w:r w:rsidR="00CB359F" w:rsidRPr="00DD7389">
        <w:rPr>
          <w:rFonts w:ascii="Verdana" w:eastAsia="Arial" w:hAnsi="Verdana"/>
          <w:lang w:eastAsia="en-US"/>
        </w:rPr>
        <w:t xml:space="preserve"> </w:t>
      </w:r>
      <w:sdt>
        <w:sdtPr>
          <w:rPr>
            <w:rFonts w:ascii="Verdana" w:eastAsia="Arial" w:hAnsi="Verdana"/>
            <w:lang w:eastAsia="en-US"/>
          </w:rPr>
          <w:id w:val="260117176"/>
          <w:citation/>
        </w:sdtPr>
        <w:sdtEndPr/>
        <w:sdtContent>
          <w:r w:rsidR="00CB359F" w:rsidRPr="00DD7389">
            <w:rPr>
              <w:rFonts w:ascii="Verdana" w:eastAsia="Arial" w:hAnsi="Verdana"/>
              <w:lang w:eastAsia="en-US"/>
            </w:rPr>
            <w:fldChar w:fldCharType="begin"/>
          </w:r>
          <w:r w:rsidR="00CB359F" w:rsidRPr="00DD7389">
            <w:rPr>
              <w:rFonts w:ascii="Verdana" w:eastAsia="Arial" w:hAnsi="Verdana"/>
              <w:lang w:eastAsia="en-US"/>
            </w:rPr>
            <w:instrText xml:space="preserve">CITATION Gui67 \n  \t  \l 3082 </w:instrText>
          </w:r>
          <w:r w:rsidR="00CB359F" w:rsidRPr="00DD7389">
            <w:rPr>
              <w:rFonts w:ascii="Verdana" w:eastAsia="Arial" w:hAnsi="Verdana"/>
              <w:lang w:eastAsia="en-US"/>
            </w:rPr>
            <w:fldChar w:fldCharType="separate"/>
          </w:r>
          <w:r w:rsidR="00CB359F" w:rsidRPr="00DD7389">
            <w:rPr>
              <w:rFonts w:ascii="Verdana" w:eastAsia="Arial" w:hAnsi="Verdana"/>
              <w:noProof/>
              <w:lang w:eastAsia="en-US"/>
            </w:rPr>
            <w:t>(1967)</w:t>
          </w:r>
          <w:r w:rsidR="00CB359F" w:rsidRPr="00DD7389">
            <w:rPr>
              <w:rFonts w:ascii="Verdana" w:eastAsia="Arial" w:hAnsi="Verdana"/>
              <w:lang w:eastAsia="en-US"/>
            </w:rPr>
            <w:fldChar w:fldCharType="end"/>
          </w:r>
        </w:sdtContent>
      </w:sdt>
      <w:r w:rsidR="00441238" w:rsidRPr="00DD7389">
        <w:rPr>
          <w:rFonts w:ascii="Verdana" w:eastAsia="Arial" w:hAnsi="Verdana"/>
          <w:lang w:eastAsia="en-US"/>
        </w:rPr>
        <w:t>,</w:t>
      </w:r>
      <w:r w:rsidRPr="00DD7389">
        <w:rPr>
          <w:rFonts w:ascii="Verdana" w:eastAsia="Arial" w:hAnsi="Verdana"/>
          <w:lang w:eastAsia="en-US"/>
        </w:rPr>
        <w:t xml:space="preserve"> quien expone</w:t>
      </w:r>
      <w:r w:rsidR="00441238" w:rsidRPr="00DD7389">
        <w:rPr>
          <w:rFonts w:ascii="Verdana" w:eastAsia="Arial" w:hAnsi="Verdana"/>
          <w:lang w:eastAsia="en-US"/>
        </w:rPr>
        <w:t xml:space="preserve"> que la hab</w:t>
      </w:r>
      <w:r w:rsidRPr="00DD7389">
        <w:rPr>
          <w:rFonts w:ascii="Verdana" w:eastAsia="Arial" w:hAnsi="Verdana"/>
          <w:lang w:eastAsia="en-US"/>
        </w:rPr>
        <w:t>ilidad cognitiva es efecto</w:t>
      </w:r>
      <w:r w:rsidR="00441238" w:rsidRPr="00DD7389">
        <w:rPr>
          <w:rFonts w:ascii="Verdana" w:eastAsia="Arial" w:hAnsi="Verdana"/>
          <w:lang w:eastAsia="en-US"/>
        </w:rPr>
        <w:t xml:space="preserve"> de la combinación de tres dimensiones (operaciones, contenido y producto);</w:t>
      </w:r>
      <w:r w:rsidRPr="00DD7389">
        <w:rPr>
          <w:rFonts w:ascii="Verdana" w:eastAsia="Arial" w:hAnsi="Verdana"/>
          <w:lang w:eastAsia="en-US"/>
        </w:rPr>
        <w:t xml:space="preserve"> por su parte, </w:t>
      </w:r>
      <w:r w:rsidR="00441238" w:rsidRPr="00DD7389">
        <w:rPr>
          <w:rFonts w:ascii="Verdana" w:eastAsia="Arial" w:hAnsi="Verdana"/>
          <w:lang w:eastAsia="en-US"/>
        </w:rPr>
        <w:t xml:space="preserve"> el modelo de</w:t>
      </w:r>
      <w:r w:rsidR="00EF60F3" w:rsidRPr="00DD7389">
        <w:rPr>
          <w:rFonts w:ascii="Verdana" w:eastAsia="Arial" w:hAnsi="Verdana"/>
          <w:lang w:eastAsia="en-US"/>
        </w:rPr>
        <w:t xml:space="preserve"> Bloom</w:t>
      </w:r>
      <w:sdt>
        <w:sdtPr>
          <w:rPr>
            <w:rFonts w:ascii="Verdana" w:eastAsia="Arial" w:hAnsi="Verdana"/>
            <w:lang w:eastAsia="en-US"/>
          </w:rPr>
          <w:id w:val="1711997746"/>
          <w:citation/>
        </w:sdtPr>
        <w:sdtEndPr/>
        <w:sdtContent>
          <w:r w:rsidR="00EF60F3" w:rsidRPr="00DD7389">
            <w:rPr>
              <w:rFonts w:ascii="Verdana" w:eastAsia="Arial" w:hAnsi="Verdana"/>
              <w:lang w:eastAsia="en-US"/>
            </w:rPr>
            <w:fldChar w:fldCharType="begin"/>
          </w:r>
          <w:r w:rsidR="00EF60F3" w:rsidRPr="00DD7389">
            <w:rPr>
              <w:rFonts w:ascii="Verdana" w:eastAsia="Arial" w:hAnsi="Verdana"/>
              <w:lang w:eastAsia="en-US"/>
            </w:rPr>
            <w:instrText xml:space="preserve">CITATION Ada15 \n  \t  \l 3082 </w:instrText>
          </w:r>
          <w:r w:rsidR="00EF60F3" w:rsidRPr="00DD7389">
            <w:rPr>
              <w:rFonts w:ascii="Verdana" w:eastAsia="Arial" w:hAnsi="Verdana"/>
              <w:lang w:eastAsia="en-US"/>
            </w:rPr>
            <w:fldChar w:fldCharType="separate"/>
          </w:r>
          <w:r w:rsidR="00EF60F3" w:rsidRPr="00DD7389">
            <w:rPr>
              <w:rFonts w:ascii="Verdana" w:eastAsia="Arial" w:hAnsi="Verdana"/>
              <w:noProof/>
              <w:lang w:eastAsia="en-US"/>
            </w:rPr>
            <w:t xml:space="preserve"> (2015)</w:t>
          </w:r>
          <w:r w:rsidR="00EF60F3" w:rsidRPr="00DD7389">
            <w:rPr>
              <w:rFonts w:ascii="Verdana" w:eastAsia="Arial" w:hAnsi="Verdana"/>
              <w:lang w:eastAsia="en-US"/>
            </w:rPr>
            <w:fldChar w:fldCharType="end"/>
          </w:r>
        </w:sdtContent>
      </w:sdt>
      <w:r w:rsidRPr="00DD7389">
        <w:rPr>
          <w:rFonts w:ascii="Verdana" w:eastAsia="Arial" w:hAnsi="Verdana"/>
          <w:lang w:eastAsia="en-US"/>
        </w:rPr>
        <w:t>, organiza de manera jerárquica un grupo</w:t>
      </w:r>
      <w:r w:rsidR="00441238" w:rsidRPr="00DD7389">
        <w:rPr>
          <w:rFonts w:ascii="Verdana" w:eastAsia="Arial" w:hAnsi="Verdana"/>
          <w:lang w:eastAsia="en-US"/>
        </w:rPr>
        <w:t xml:space="preserve"> de hab</w:t>
      </w:r>
      <w:r w:rsidRPr="00DD7389">
        <w:rPr>
          <w:rFonts w:ascii="Verdana" w:eastAsia="Arial" w:hAnsi="Verdana"/>
          <w:lang w:eastAsia="en-US"/>
        </w:rPr>
        <w:t>ilidades intelectuales, empleadas en el contexto educativo para discriminar metas educativas, esta perspectiva discrimina</w:t>
      </w:r>
      <w:r w:rsidR="00441238" w:rsidRPr="00DD7389">
        <w:rPr>
          <w:rFonts w:ascii="Verdana" w:eastAsia="Arial" w:hAnsi="Verdana"/>
          <w:lang w:eastAsia="en-US"/>
        </w:rPr>
        <w:t xml:space="preserve"> los tipos de tareas que se debe resolver, en cada una de seis categorías (conocimiento, comprensión, aplicación, análisis, </w:t>
      </w:r>
      <w:r w:rsidRPr="00DD7389">
        <w:rPr>
          <w:rFonts w:ascii="Verdana" w:eastAsia="Arial" w:hAnsi="Verdana"/>
          <w:lang w:eastAsia="en-US"/>
        </w:rPr>
        <w:t>síntesis y evaluación); de igual forma</w:t>
      </w:r>
      <w:r w:rsidR="00441238" w:rsidRPr="00DD7389">
        <w:rPr>
          <w:rFonts w:ascii="Verdana" w:eastAsia="Arial" w:hAnsi="Verdana"/>
          <w:lang w:eastAsia="en-US"/>
        </w:rPr>
        <w:t>, el</w:t>
      </w:r>
      <w:r w:rsidRPr="00DD7389">
        <w:rPr>
          <w:rFonts w:ascii="Verdana" w:eastAsia="Arial" w:hAnsi="Verdana"/>
          <w:lang w:eastAsia="en-US"/>
        </w:rPr>
        <w:t xml:space="preserve"> modelo de </w:t>
      </w:r>
      <w:proofErr w:type="spellStart"/>
      <w:r w:rsidRPr="00DD7389">
        <w:rPr>
          <w:rFonts w:ascii="Verdana" w:eastAsia="Arial" w:hAnsi="Verdana"/>
          <w:lang w:eastAsia="en-US"/>
        </w:rPr>
        <w:t>Halpern</w:t>
      </w:r>
      <w:proofErr w:type="spellEnd"/>
      <w:r w:rsidRPr="00DD7389">
        <w:rPr>
          <w:rFonts w:ascii="Verdana" w:eastAsia="Arial" w:hAnsi="Verdana"/>
          <w:lang w:eastAsia="en-US"/>
        </w:rPr>
        <w:t xml:space="preserve"> (1994), es un esquema teórico</w:t>
      </w:r>
      <w:r w:rsidR="00441238" w:rsidRPr="00DD7389">
        <w:rPr>
          <w:rFonts w:ascii="Verdana" w:eastAsia="Arial" w:hAnsi="Verdana"/>
          <w:lang w:eastAsia="en-US"/>
        </w:rPr>
        <w:t xml:space="preserve"> de habilidades de</w:t>
      </w:r>
      <w:r w:rsidRPr="00DD7389">
        <w:rPr>
          <w:rFonts w:ascii="Verdana" w:eastAsia="Arial" w:hAnsi="Verdana"/>
          <w:lang w:eastAsia="en-US"/>
        </w:rPr>
        <w:t xml:space="preserve"> pensamiento crítico,</w:t>
      </w:r>
      <w:r w:rsidR="00441238" w:rsidRPr="00DD7389">
        <w:rPr>
          <w:rFonts w:ascii="Verdana" w:eastAsia="Arial" w:hAnsi="Verdana"/>
          <w:lang w:eastAsia="en-US"/>
        </w:rPr>
        <w:t xml:space="preserve"> basa</w:t>
      </w:r>
      <w:r w:rsidRPr="00DD7389">
        <w:rPr>
          <w:rFonts w:ascii="Verdana" w:eastAsia="Arial" w:hAnsi="Verdana"/>
          <w:lang w:eastAsia="en-US"/>
        </w:rPr>
        <w:t>do en el empleo de las competencias</w:t>
      </w:r>
      <w:r w:rsidR="001D7B3E" w:rsidRPr="00DD7389">
        <w:rPr>
          <w:rFonts w:ascii="Verdana" w:eastAsia="Arial" w:hAnsi="Verdana"/>
          <w:lang w:eastAsia="en-US"/>
        </w:rPr>
        <w:t xml:space="preserve"> cognitivas para alcanzar</w:t>
      </w:r>
      <w:r w:rsidR="00441238" w:rsidRPr="00DD7389">
        <w:rPr>
          <w:rFonts w:ascii="Verdana" w:eastAsia="Arial" w:hAnsi="Verdana"/>
          <w:lang w:eastAsia="en-US"/>
        </w:rPr>
        <w:t xml:space="preserve"> resultado</w:t>
      </w:r>
      <w:r w:rsidR="001D7B3E" w:rsidRPr="00DD7389">
        <w:rPr>
          <w:rFonts w:ascii="Verdana" w:eastAsia="Arial" w:hAnsi="Verdana"/>
          <w:lang w:eastAsia="en-US"/>
        </w:rPr>
        <w:t>s favorable</w:t>
      </w:r>
      <w:r w:rsidR="00EF60F3" w:rsidRPr="00DD7389">
        <w:rPr>
          <w:rFonts w:ascii="Verdana" w:eastAsia="Arial" w:hAnsi="Verdana"/>
          <w:lang w:eastAsia="en-US"/>
        </w:rPr>
        <w:t>s</w:t>
      </w:r>
      <w:sdt>
        <w:sdtPr>
          <w:rPr>
            <w:rFonts w:ascii="Verdana" w:eastAsia="Arial" w:hAnsi="Verdana"/>
            <w:lang w:eastAsia="en-US"/>
          </w:rPr>
          <w:id w:val="-662549741"/>
          <w:citation/>
        </w:sdtPr>
        <w:sdtEndPr/>
        <w:sdtContent>
          <w:r w:rsidR="00EF60F3" w:rsidRPr="00DD7389">
            <w:rPr>
              <w:rFonts w:ascii="Verdana" w:eastAsia="Arial" w:hAnsi="Verdana"/>
              <w:lang w:eastAsia="en-US"/>
            </w:rPr>
            <w:fldChar w:fldCharType="begin"/>
          </w:r>
          <w:r w:rsidR="00EF60F3" w:rsidRPr="00DD7389">
            <w:rPr>
              <w:rFonts w:ascii="Verdana" w:eastAsia="Arial" w:hAnsi="Verdana"/>
              <w:lang w:eastAsia="en-US"/>
            </w:rPr>
            <w:instrText xml:space="preserve"> CITATION Frí17 \l 3082 </w:instrText>
          </w:r>
          <w:r w:rsidR="00EF60F3" w:rsidRPr="00DD7389">
            <w:rPr>
              <w:rFonts w:ascii="Verdana" w:eastAsia="Arial" w:hAnsi="Verdana"/>
              <w:lang w:eastAsia="en-US"/>
            </w:rPr>
            <w:fldChar w:fldCharType="separate"/>
          </w:r>
          <w:r w:rsidR="00EF60F3" w:rsidRPr="00DD7389">
            <w:rPr>
              <w:rFonts w:ascii="Verdana" w:eastAsia="Arial" w:hAnsi="Verdana"/>
              <w:noProof/>
              <w:lang w:eastAsia="en-US"/>
            </w:rPr>
            <w:t xml:space="preserve"> (Frías, 2017)</w:t>
          </w:r>
          <w:r w:rsidR="00EF60F3" w:rsidRPr="00DD7389">
            <w:rPr>
              <w:rFonts w:ascii="Verdana" w:eastAsia="Arial" w:hAnsi="Verdana"/>
              <w:lang w:eastAsia="en-US"/>
            </w:rPr>
            <w:fldChar w:fldCharType="end"/>
          </w:r>
        </w:sdtContent>
      </w:sdt>
      <w:r w:rsidR="00EF60F3" w:rsidRPr="00DD7389">
        <w:rPr>
          <w:rFonts w:ascii="Verdana" w:eastAsia="Arial" w:hAnsi="Verdana"/>
          <w:lang w:eastAsia="en-US"/>
        </w:rPr>
        <w:t>.</w:t>
      </w:r>
    </w:p>
    <w:p w:rsidR="008B3758" w:rsidRPr="00DD7389" w:rsidRDefault="008B3758" w:rsidP="00292E6C">
      <w:pPr>
        <w:spacing w:after="120"/>
        <w:contextualSpacing/>
        <w:jc w:val="both"/>
        <w:rPr>
          <w:rFonts w:ascii="Verdana" w:eastAsia="Arial" w:hAnsi="Verdana"/>
          <w:lang w:eastAsia="en-US"/>
        </w:rPr>
      </w:pPr>
    </w:p>
    <w:p w:rsidR="001D7B3E" w:rsidRPr="008B3758" w:rsidRDefault="001D7B3E" w:rsidP="00292E6C">
      <w:pPr>
        <w:shd w:val="clear" w:color="auto" w:fill="FFFFFF"/>
        <w:spacing w:after="120"/>
        <w:jc w:val="both"/>
        <w:rPr>
          <w:rFonts w:ascii="Verdana" w:eastAsia="Arial" w:hAnsi="Verdana"/>
          <w:lang w:eastAsia="en-US"/>
        </w:rPr>
      </w:pPr>
      <w:r w:rsidRPr="008B3758">
        <w:rPr>
          <w:rFonts w:ascii="Verdana" w:eastAsia="Arial" w:hAnsi="Verdana"/>
          <w:lang w:eastAsia="en-US"/>
        </w:rPr>
        <w:t>Importancia de las habilidades cognitivas en la educación</w:t>
      </w:r>
    </w:p>
    <w:p w:rsidR="001D7B3E" w:rsidRPr="00DD7389" w:rsidRDefault="001D7B3E" w:rsidP="00292E6C">
      <w:pPr>
        <w:widowControl w:val="0"/>
        <w:autoSpaceDE w:val="0"/>
        <w:autoSpaceDN w:val="0"/>
        <w:spacing w:after="120"/>
        <w:jc w:val="both"/>
        <w:rPr>
          <w:rFonts w:ascii="Verdana" w:eastAsia="Arial" w:hAnsi="Verdana"/>
          <w:lang w:eastAsia="en-US"/>
        </w:rPr>
      </w:pPr>
      <w:r w:rsidRPr="00DD7389">
        <w:rPr>
          <w:rFonts w:ascii="Verdana" w:eastAsia="Arial" w:hAnsi="Verdana"/>
          <w:lang w:eastAsia="en-US"/>
        </w:rPr>
        <w:lastRenderedPageBreak/>
        <w:t>Las habilidades cognitivas en educación son relevantes debido a que permiten lograr aspectos importantes como el dominio de los sistemas complejos de operaciones mentales, donde un individuo puede apropiarse de los conocimientos recibidos en el proceso de enseñanza – aprendizaje.</w:t>
      </w:r>
      <w:r w:rsidR="00EF60F3" w:rsidRPr="00DD7389">
        <w:rPr>
          <w:rFonts w:ascii="Verdana" w:eastAsia="Arial" w:hAnsi="Verdana"/>
          <w:lang w:eastAsia="en-US"/>
        </w:rPr>
        <w:t xml:space="preserve"> Al respecto Capilla </w:t>
      </w:r>
      <w:sdt>
        <w:sdtPr>
          <w:rPr>
            <w:rFonts w:ascii="Verdana" w:eastAsia="Arial" w:hAnsi="Verdana"/>
            <w:lang w:eastAsia="en-US"/>
          </w:rPr>
          <w:id w:val="-1287497435"/>
          <w:citation/>
        </w:sdtPr>
        <w:sdtEndPr/>
        <w:sdtContent>
          <w:r w:rsidR="00EF60F3" w:rsidRPr="00DD7389">
            <w:rPr>
              <w:rFonts w:ascii="Verdana" w:eastAsia="Arial" w:hAnsi="Verdana"/>
              <w:lang w:eastAsia="en-US"/>
            </w:rPr>
            <w:fldChar w:fldCharType="begin"/>
          </w:r>
          <w:r w:rsidR="00EF60F3" w:rsidRPr="00DD7389">
            <w:rPr>
              <w:rFonts w:ascii="Verdana" w:eastAsia="Arial" w:hAnsi="Verdana"/>
              <w:lang w:eastAsia="en-US"/>
            </w:rPr>
            <w:instrText xml:space="preserve">CITATION Cap16 \n  \t  \l 3082 </w:instrText>
          </w:r>
          <w:r w:rsidR="00EF60F3" w:rsidRPr="00DD7389">
            <w:rPr>
              <w:rFonts w:ascii="Verdana" w:eastAsia="Arial" w:hAnsi="Verdana"/>
              <w:lang w:eastAsia="en-US"/>
            </w:rPr>
            <w:fldChar w:fldCharType="separate"/>
          </w:r>
          <w:r w:rsidR="00EF60F3" w:rsidRPr="00DD7389">
            <w:rPr>
              <w:rFonts w:ascii="Verdana" w:eastAsia="Arial" w:hAnsi="Verdana"/>
              <w:noProof/>
              <w:lang w:eastAsia="en-US"/>
            </w:rPr>
            <w:t>(2016)</w:t>
          </w:r>
          <w:r w:rsidR="00EF60F3" w:rsidRPr="00DD7389">
            <w:rPr>
              <w:rFonts w:ascii="Verdana" w:eastAsia="Arial" w:hAnsi="Verdana"/>
              <w:lang w:eastAsia="en-US"/>
            </w:rPr>
            <w:fldChar w:fldCharType="end"/>
          </w:r>
        </w:sdtContent>
      </w:sdt>
      <w:r w:rsidR="0098371A" w:rsidRPr="00DD7389">
        <w:rPr>
          <w:rFonts w:ascii="Verdana" w:eastAsia="Arial" w:hAnsi="Verdana"/>
          <w:lang w:eastAsia="en-US"/>
        </w:rPr>
        <w:t xml:space="preserve">, </w:t>
      </w:r>
      <w:r w:rsidRPr="00DD7389">
        <w:rPr>
          <w:rFonts w:ascii="Verdana" w:eastAsia="Arial" w:hAnsi="Verdana"/>
          <w:lang w:eastAsia="en-US"/>
        </w:rPr>
        <w:t>refiere al impacto que existen entre la equivalencia, comparación y orden de fracciones -considerando a estos como habilidades o procesos cognitivos- y el aprendizaje significativo de la adición y sustracción de fracciones comunes (p.1), considerar un desarrollo de las habilidades cognitivas en la escuela permite el desarrollo de habilidades y destrezas para la resolución de las actividades que se abordan en el aula.</w:t>
      </w:r>
    </w:p>
    <w:p w:rsidR="001D7B3E" w:rsidRPr="00DD7389" w:rsidRDefault="001D7B3E" w:rsidP="00292E6C">
      <w:pPr>
        <w:widowControl w:val="0"/>
        <w:autoSpaceDE w:val="0"/>
        <w:autoSpaceDN w:val="0"/>
        <w:spacing w:after="120"/>
        <w:jc w:val="both"/>
        <w:rPr>
          <w:rFonts w:ascii="Verdana" w:eastAsia="Arial" w:hAnsi="Verdana"/>
          <w:lang w:eastAsia="en-US"/>
        </w:rPr>
      </w:pPr>
      <w:r w:rsidRPr="00DD7389">
        <w:rPr>
          <w:rFonts w:ascii="Verdana" w:eastAsia="Arial" w:hAnsi="Verdana"/>
          <w:lang w:eastAsia="en-US"/>
        </w:rPr>
        <w:t xml:space="preserve">A juicio de </w:t>
      </w:r>
      <w:proofErr w:type="spellStart"/>
      <w:r w:rsidR="0098371A" w:rsidRPr="00DD7389">
        <w:rPr>
          <w:rFonts w:ascii="Verdana" w:eastAsia="Arial" w:hAnsi="Verdana"/>
          <w:lang w:eastAsia="en-US"/>
        </w:rPr>
        <w:t>Kostantze</w:t>
      </w:r>
      <w:proofErr w:type="spellEnd"/>
      <w:r w:rsidRPr="00DD7389">
        <w:rPr>
          <w:rFonts w:ascii="Verdana" w:eastAsia="Arial" w:hAnsi="Verdana"/>
          <w:lang w:eastAsia="en-US"/>
        </w:rPr>
        <w:t xml:space="preserve"> </w:t>
      </w:r>
      <w:sdt>
        <w:sdtPr>
          <w:rPr>
            <w:rFonts w:ascii="Verdana" w:eastAsia="Arial" w:hAnsi="Verdana"/>
            <w:lang w:eastAsia="en-US"/>
          </w:rPr>
          <w:id w:val="-1110583196"/>
          <w:citation/>
        </w:sdtPr>
        <w:sdtEndPr/>
        <w:sdtContent>
          <w:r w:rsidRPr="00DD7389">
            <w:rPr>
              <w:rFonts w:ascii="Verdana" w:eastAsia="Arial" w:hAnsi="Verdana"/>
              <w:lang w:eastAsia="en-US"/>
            </w:rPr>
            <w:fldChar w:fldCharType="begin"/>
          </w:r>
          <w:r w:rsidR="0098371A" w:rsidRPr="00DD7389">
            <w:rPr>
              <w:rFonts w:ascii="Verdana" w:eastAsia="Arial" w:hAnsi="Verdana"/>
              <w:lang w:eastAsia="en-US"/>
            </w:rPr>
            <w:instrText xml:space="preserve">CITATION Elo16 \n  \t  \l 3082 </w:instrText>
          </w:r>
          <w:r w:rsidRPr="00DD7389">
            <w:rPr>
              <w:rFonts w:ascii="Verdana" w:eastAsia="Arial" w:hAnsi="Verdana"/>
              <w:lang w:eastAsia="en-US"/>
            </w:rPr>
            <w:fldChar w:fldCharType="separate"/>
          </w:r>
          <w:r w:rsidR="0098371A" w:rsidRPr="00DD7389">
            <w:rPr>
              <w:rFonts w:ascii="Verdana" w:eastAsia="Arial" w:hAnsi="Verdana"/>
              <w:noProof/>
              <w:lang w:eastAsia="en-US"/>
            </w:rPr>
            <w:t>(2016)</w:t>
          </w:r>
          <w:r w:rsidRPr="00DD7389">
            <w:rPr>
              <w:rFonts w:ascii="Verdana" w:eastAsia="Arial" w:hAnsi="Verdana"/>
              <w:lang w:eastAsia="en-US"/>
            </w:rPr>
            <w:fldChar w:fldCharType="end"/>
          </w:r>
        </w:sdtContent>
      </w:sdt>
      <w:r w:rsidRPr="00DD7389">
        <w:rPr>
          <w:rFonts w:ascii="Verdana" w:eastAsia="Arial" w:hAnsi="Verdana"/>
          <w:lang w:eastAsia="en-US"/>
        </w:rPr>
        <w:t xml:space="preserve"> sostiene que: La tarea de lograr una educación escolar de calidad, el docente ejerce un rol fundamental, ya que a través de su trabajo mediador y como acompañante cognitivo debe: estimular a sus estudiantes para que alcancen las metas propuestas a través del descubrimiento y aprovechamiento de sus capacidades; motivar la generación de hábitos y conductas deseables que impulsen la producción en el campo académico y axiológico; convertir a los aprendices en constructores de su proyecto de vida para que adquieran, gradualmente, un mayor nivel de responsabilidad y de autonomía.</w:t>
      </w:r>
    </w:p>
    <w:p w:rsidR="001E4510" w:rsidRPr="00DD7389" w:rsidRDefault="001D7B3E" w:rsidP="00292E6C">
      <w:pPr>
        <w:widowControl w:val="0"/>
        <w:autoSpaceDE w:val="0"/>
        <w:autoSpaceDN w:val="0"/>
        <w:spacing w:after="120"/>
        <w:jc w:val="both"/>
        <w:rPr>
          <w:rFonts w:ascii="Verdana" w:eastAsia="Arial" w:hAnsi="Verdana"/>
          <w:lang w:eastAsia="en-US"/>
        </w:rPr>
      </w:pPr>
      <w:r w:rsidRPr="00DD7389">
        <w:rPr>
          <w:rFonts w:ascii="Verdana" w:eastAsia="Arial" w:hAnsi="Verdana"/>
          <w:lang w:eastAsia="en-US"/>
        </w:rPr>
        <w:t>De acuerdo c</w:t>
      </w:r>
      <w:r w:rsidR="00C10345">
        <w:rPr>
          <w:rFonts w:ascii="Verdana" w:eastAsia="Arial" w:hAnsi="Verdana"/>
          <w:lang w:eastAsia="en-US"/>
        </w:rPr>
        <w:t xml:space="preserve">on </w:t>
      </w:r>
      <w:proofErr w:type="spellStart"/>
      <w:r w:rsidR="00C10345">
        <w:rPr>
          <w:rFonts w:ascii="Verdana" w:eastAsia="Arial" w:hAnsi="Verdana"/>
          <w:lang w:eastAsia="en-US"/>
        </w:rPr>
        <w:t>Sión</w:t>
      </w:r>
      <w:proofErr w:type="spellEnd"/>
      <w:r w:rsidR="00C10345">
        <w:rPr>
          <w:rFonts w:ascii="Verdana" w:eastAsia="Arial" w:hAnsi="Verdana"/>
          <w:lang w:eastAsia="en-US"/>
        </w:rPr>
        <w:t xml:space="preserve"> </w:t>
      </w:r>
      <w:r w:rsidR="00A45C46">
        <w:rPr>
          <w:rFonts w:ascii="Verdana" w:eastAsia="Arial" w:hAnsi="Verdana"/>
          <w:lang w:eastAsia="en-US"/>
        </w:rPr>
        <w:t xml:space="preserve">et al. </w:t>
      </w:r>
      <w:sdt>
        <w:sdtPr>
          <w:rPr>
            <w:rFonts w:ascii="Verdana" w:eastAsia="Arial" w:hAnsi="Verdana"/>
            <w:lang w:eastAsia="en-US"/>
          </w:rPr>
          <w:id w:val="-310247292"/>
          <w:citation/>
        </w:sdtPr>
        <w:sdtEndPr/>
        <w:sdtContent>
          <w:r w:rsidR="00A45C46">
            <w:rPr>
              <w:rFonts w:ascii="Verdana" w:eastAsia="Arial" w:hAnsi="Verdana"/>
              <w:lang w:eastAsia="en-US"/>
            </w:rPr>
            <w:fldChar w:fldCharType="begin"/>
          </w:r>
          <w:r w:rsidR="00A45C46">
            <w:rPr>
              <w:rFonts w:ascii="Verdana" w:eastAsia="Arial" w:hAnsi="Verdana"/>
              <w:lang w:eastAsia="en-US"/>
            </w:rPr>
            <w:instrText xml:space="preserve">CITATION Sió17 \n  \t  \l 3082 </w:instrText>
          </w:r>
          <w:r w:rsidR="00A45C46">
            <w:rPr>
              <w:rFonts w:ascii="Verdana" w:eastAsia="Arial" w:hAnsi="Verdana"/>
              <w:lang w:eastAsia="en-US"/>
            </w:rPr>
            <w:fldChar w:fldCharType="separate"/>
          </w:r>
          <w:r w:rsidR="00A45C46" w:rsidRPr="00A45C46">
            <w:rPr>
              <w:rFonts w:ascii="Verdana" w:eastAsia="Arial" w:hAnsi="Verdana"/>
              <w:noProof/>
              <w:lang w:eastAsia="en-US"/>
            </w:rPr>
            <w:t>(2017)</w:t>
          </w:r>
          <w:r w:rsidR="00A45C46">
            <w:rPr>
              <w:rFonts w:ascii="Verdana" w:eastAsia="Arial" w:hAnsi="Verdana"/>
              <w:lang w:eastAsia="en-US"/>
            </w:rPr>
            <w:fldChar w:fldCharType="end"/>
          </w:r>
        </w:sdtContent>
      </w:sdt>
      <w:r w:rsidRPr="00DD7389">
        <w:rPr>
          <w:rFonts w:ascii="Verdana" w:eastAsia="Arial" w:hAnsi="Verdana"/>
          <w:lang w:eastAsia="en-US"/>
        </w:rPr>
        <w:t xml:space="preserve">considera que es fundamental </w:t>
      </w:r>
      <w:r w:rsidR="00A45C46">
        <w:rPr>
          <w:rFonts w:ascii="Verdana" w:eastAsia="Arial" w:hAnsi="Verdana"/>
          <w:lang w:eastAsia="en-US"/>
        </w:rPr>
        <w:t>incorporar cambios sustantivos y estructurales en los sistemas educativos, para que desde estos se pueda favorecer el desarrollo de las competencias cognitivas de los estudiantes, utilizando todo su potencial y el apoyo tecnológico que existe actualmente, no solo como herramienta sino como un soporte técnicamente fundamentado.</w:t>
      </w:r>
    </w:p>
    <w:p w:rsidR="001D7B3E" w:rsidRPr="008B3758" w:rsidRDefault="001D7B3E" w:rsidP="00292E6C">
      <w:pPr>
        <w:pStyle w:val="Ttulo2"/>
        <w:spacing w:after="120"/>
        <w:rPr>
          <w:rFonts w:ascii="Verdana" w:eastAsia="Arial" w:hAnsi="Verdana" w:cs="Times New Roman"/>
          <w:color w:val="auto"/>
          <w:sz w:val="24"/>
          <w:szCs w:val="24"/>
          <w:lang w:eastAsia="en-US"/>
        </w:rPr>
      </w:pPr>
      <w:r w:rsidRPr="008B3758">
        <w:rPr>
          <w:rFonts w:ascii="Verdana" w:eastAsia="Arial" w:hAnsi="Verdana" w:cs="Times New Roman"/>
          <w:color w:val="auto"/>
          <w:sz w:val="24"/>
          <w:szCs w:val="24"/>
          <w:lang w:eastAsia="en-US"/>
        </w:rPr>
        <w:t>Habilidades cognitivas</w:t>
      </w:r>
      <w:r w:rsidR="008B3758" w:rsidRPr="008B3758">
        <w:rPr>
          <w:rFonts w:ascii="Verdana" w:eastAsia="Arial" w:hAnsi="Verdana" w:cs="Times New Roman"/>
          <w:color w:val="auto"/>
          <w:sz w:val="24"/>
          <w:szCs w:val="24"/>
          <w:lang w:eastAsia="en-US"/>
        </w:rPr>
        <w:t xml:space="preserve"> requeridas por los estudiantes</w:t>
      </w:r>
    </w:p>
    <w:p w:rsidR="001D7B3E" w:rsidRPr="00DD7389" w:rsidRDefault="001D7B3E" w:rsidP="00292E6C">
      <w:pPr>
        <w:spacing w:after="120"/>
        <w:jc w:val="both"/>
        <w:rPr>
          <w:rFonts w:ascii="Verdana" w:hAnsi="Verdana"/>
        </w:rPr>
      </w:pPr>
      <w:r w:rsidRPr="006B58B8">
        <w:rPr>
          <w:rFonts w:ascii="Verdana" w:hAnsi="Verdana"/>
        </w:rPr>
        <w:t>Las habilidades cognitivas en educación son relevantes debido a que permiten lograr aspectos importantes como el dominio de los sistemas complejos de operaciones mentales, donde un individuo puede apropiarse de los conocimientos recibidos en el proceso de enseñanza – aprendizaje. Con las palabras de</w:t>
      </w:r>
      <w:r w:rsidR="0098371A" w:rsidRPr="006B58B8">
        <w:rPr>
          <w:rFonts w:ascii="Verdana" w:hAnsi="Verdana"/>
        </w:rPr>
        <w:t xml:space="preserve"> Capilla </w:t>
      </w:r>
      <w:sdt>
        <w:sdtPr>
          <w:rPr>
            <w:rFonts w:ascii="Verdana" w:hAnsi="Verdana"/>
          </w:rPr>
          <w:id w:val="-1214961840"/>
          <w:citation/>
        </w:sdtPr>
        <w:sdtEndPr/>
        <w:sdtContent>
          <w:r w:rsidR="0098371A" w:rsidRPr="006B58B8">
            <w:rPr>
              <w:rFonts w:ascii="Verdana" w:hAnsi="Verdana"/>
            </w:rPr>
            <w:fldChar w:fldCharType="begin"/>
          </w:r>
          <w:r w:rsidR="0098371A" w:rsidRPr="006B58B8">
            <w:rPr>
              <w:rFonts w:ascii="Verdana" w:hAnsi="Verdana"/>
            </w:rPr>
            <w:instrText xml:space="preserve">CITATION Cap16 \n  \t  \l 3082 </w:instrText>
          </w:r>
          <w:r w:rsidR="0098371A" w:rsidRPr="006B58B8">
            <w:rPr>
              <w:rFonts w:ascii="Verdana" w:hAnsi="Verdana"/>
            </w:rPr>
            <w:fldChar w:fldCharType="separate"/>
          </w:r>
          <w:r w:rsidR="0098371A" w:rsidRPr="006B58B8">
            <w:rPr>
              <w:rFonts w:ascii="Verdana" w:hAnsi="Verdana"/>
              <w:noProof/>
            </w:rPr>
            <w:t>(2016)</w:t>
          </w:r>
          <w:r w:rsidR="0098371A" w:rsidRPr="006B58B8">
            <w:rPr>
              <w:rFonts w:ascii="Verdana" w:hAnsi="Verdana"/>
            </w:rPr>
            <w:fldChar w:fldCharType="end"/>
          </w:r>
        </w:sdtContent>
      </w:sdt>
      <w:r w:rsidR="0098371A" w:rsidRPr="006B58B8">
        <w:rPr>
          <w:rFonts w:ascii="Verdana" w:hAnsi="Verdana"/>
        </w:rPr>
        <w:t xml:space="preserve">, se </w:t>
      </w:r>
      <w:r w:rsidRPr="006B58B8">
        <w:rPr>
          <w:rFonts w:ascii="Verdana" w:hAnsi="Verdana"/>
        </w:rPr>
        <w:t>refiere al impacto que existen entre la equivalencia, co</w:t>
      </w:r>
      <w:r w:rsidR="00A96C74" w:rsidRPr="006B58B8">
        <w:rPr>
          <w:rFonts w:ascii="Verdana" w:hAnsi="Verdana"/>
        </w:rPr>
        <w:t xml:space="preserve">mparación y orden de fracciones, </w:t>
      </w:r>
      <w:r w:rsidRPr="006B58B8">
        <w:rPr>
          <w:rFonts w:ascii="Verdana" w:hAnsi="Verdana"/>
        </w:rPr>
        <w:t>considerando a estos como habilidades o procesos cognitivos</w:t>
      </w:r>
      <w:r w:rsidR="00A96C74" w:rsidRPr="006B58B8">
        <w:rPr>
          <w:rFonts w:ascii="Verdana" w:hAnsi="Verdana"/>
        </w:rPr>
        <w:t xml:space="preserve"> </w:t>
      </w:r>
      <w:r w:rsidRPr="006B58B8">
        <w:rPr>
          <w:rFonts w:ascii="Verdana" w:hAnsi="Verdana"/>
        </w:rPr>
        <w:t>y el aprendizaje significativo de la adición y sustrac</w:t>
      </w:r>
      <w:r w:rsidR="0098371A" w:rsidRPr="006B58B8">
        <w:rPr>
          <w:rFonts w:ascii="Verdana" w:hAnsi="Verdana"/>
        </w:rPr>
        <w:t>ción de fracciones comunes</w:t>
      </w:r>
      <w:r w:rsidRPr="006B58B8">
        <w:rPr>
          <w:rFonts w:ascii="Verdana" w:hAnsi="Verdana"/>
        </w:rPr>
        <w:t>, considerar un desarrollo de las habilidades cognitivas en la escuela permite el desarrollo de habilidades y destrezas para la resolución de las actividades que se abordan en el aula.</w:t>
      </w:r>
    </w:p>
    <w:p w:rsidR="001D7B3E" w:rsidRPr="00DD7389" w:rsidRDefault="001D7B3E" w:rsidP="00292E6C">
      <w:pPr>
        <w:spacing w:after="120"/>
        <w:jc w:val="both"/>
        <w:rPr>
          <w:rFonts w:ascii="Verdana" w:hAnsi="Verdana"/>
        </w:rPr>
      </w:pPr>
      <w:r w:rsidRPr="00DD7389">
        <w:rPr>
          <w:rFonts w:ascii="Verdana" w:hAnsi="Verdana"/>
        </w:rPr>
        <w:t>A juicio de</w:t>
      </w:r>
      <w:r w:rsidR="0098371A" w:rsidRPr="00DD7389">
        <w:rPr>
          <w:rFonts w:ascii="Verdana" w:hAnsi="Verdana"/>
        </w:rPr>
        <w:t xml:space="preserve"> </w:t>
      </w:r>
      <w:proofErr w:type="spellStart"/>
      <w:r w:rsidR="0098371A" w:rsidRPr="00DD7389">
        <w:rPr>
          <w:rFonts w:ascii="Verdana" w:hAnsi="Verdana"/>
        </w:rPr>
        <w:t>Kostantze</w:t>
      </w:r>
      <w:proofErr w:type="spellEnd"/>
      <w:r w:rsidR="00C10345">
        <w:rPr>
          <w:rFonts w:ascii="Verdana" w:hAnsi="Verdana"/>
        </w:rPr>
        <w:t xml:space="preserve"> </w:t>
      </w:r>
      <w:sdt>
        <w:sdtPr>
          <w:rPr>
            <w:rFonts w:ascii="Verdana" w:hAnsi="Verdana"/>
          </w:rPr>
          <w:id w:val="-716354019"/>
          <w:citation/>
        </w:sdtPr>
        <w:sdtEndPr/>
        <w:sdtContent>
          <w:r w:rsidRPr="00DD7389">
            <w:rPr>
              <w:rFonts w:ascii="Verdana" w:hAnsi="Verdana"/>
            </w:rPr>
            <w:fldChar w:fldCharType="begin"/>
          </w:r>
          <w:r w:rsidR="0098371A" w:rsidRPr="00DD7389">
            <w:rPr>
              <w:rFonts w:ascii="Verdana" w:hAnsi="Verdana"/>
            </w:rPr>
            <w:instrText xml:space="preserve">CITATION Elo16 \n  \t  \l 3082 </w:instrText>
          </w:r>
          <w:r w:rsidRPr="00DD7389">
            <w:rPr>
              <w:rFonts w:ascii="Verdana" w:hAnsi="Verdana"/>
            </w:rPr>
            <w:fldChar w:fldCharType="separate"/>
          </w:r>
          <w:r w:rsidR="0098371A" w:rsidRPr="00DD7389">
            <w:rPr>
              <w:rFonts w:ascii="Verdana" w:hAnsi="Verdana"/>
              <w:noProof/>
            </w:rPr>
            <w:t>(2016)</w:t>
          </w:r>
          <w:r w:rsidRPr="00DD7389">
            <w:rPr>
              <w:rFonts w:ascii="Verdana" w:hAnsi="Verdana"/>
            </w:rPr>
            <w:fldChar w:fldCharType="end"/>
          </w:r>
        </w:sdtContent>
      </w:sdt>
      <w:r w:rsidR="005D59DD">
        <w:rPr>
          <w:rFonts w:ascii="Verdana" w:hAnsi="Verdana"/>
        </w:rPr>
        <w:t xml:space="preserve"> sostiene que: l</w:t>
      </w:r>
      <w:r w:rsidRPr="00DD7389">
        <w:rPr>
          <w:rFonts w:ascii="Verdana" w:hAnsi="Verdana"/>
        </w:rPr>
        <w:t xml:space="preserve">a tarea de lograr una educación escolar de calidad, el docente ejerce un rol fundamental, ya que a través de su trabajo mediador y como acompañante cognitivo debe: estimular a sus estudiantes para que alcancen las metas propuestas a través del descubrimiento y aprovechamiento de sus capacidades; motivar la generación de hábitos y conductas deseables que impulsen la producción en el campo </w:t>
      </w:r>
      <w:r w:rsidRPr="00DD7389">
        <w:rPr>
          <w:rFonts w:ascii="Verdana" w:hAnsi="Verdana"/>
        </w:rPr>
        <w:lastRenderedPageBreak/>
        <w:t>académico y axiológico; convertir a los aprendices en constructores de su proyecto de vida para que adquieran, gradualmente, un mayor nivel de responsabilidad y de autonomía.</w:t>
      </w:r>
    </w:p>
    <w:p w:rsidR="001D7B3E" w:rsidRPr="00DD7389" w:rsidRDefault="001D7B3E" w:rsidP="00292E6C">
      <w:pPr>
        <w:shd w:val="clear" w:color="auto" w:fill="FFFFFF"/>
        <w:spacing w:after="120"/>
        <w:jc w:val="both"/>
        <w:rPr>
          <w:rFonts w:ascii="Verdana" w:eastAsia="Arial" w:hAnsi="Verdana"/>
          <w:lang w:eastAsia="en-US"/>
        </w:rPr>
      </w:pPr>
      <w:r w:rsidRPr="00DD7389">
        <w:rPr>
          <w:rFonts w:ascii="Verdana" w:hAnsi="Verdana"/>
        </w:rPr>
        <w:t xml:space="preserve">De acuerdo con  </w:t>
      </w:r>
      <w:r w:rsidR="0098371A" w:rsidRPr="00DD7389">
        <w:rPr>
          <w:rFonts w:ascii="Verdana" w:hAnsi="Verdana"/>
        </w:rPr>
        <w:t xml:space="preserve">Cárdenas </w:t>
      </w:r>
      <w:sdt>
        <w:sdtPr>
          <w:rPr>
            <w:rFonts w:ascii="Verdana" w:hAnsi="Verdana"/>
          </w:rPr>
          <w:id w:val="-161929604"/>
          <w:citation/>
        </w:sdtPr>
        <w:sdtEndPr/>
        <w:sdtContent>
          <w:r w:rsidR="0098371A" w:rsidRPr="00DD7389">
            <w:rPr>
              <w:rFonts w:ascii="Verdana" w:hAnsi="Verdana"/>
            </w:rPr>
            <w:fldChar w:fldCharType="begin"/>
          </w:r>
          <w:r w:rsidR="0098371A" w:rsidRPr="00DD7389">
            <w:rPr>
              <w:rFonts w:ascii="Verdana" w:hAnsi="Verdana"/>
            </w:rPr>
            <w:instrText xml:space="preserve">CITATION Cár17 \n  \t  \l 3082 </w:instrText>
          </w:r>
          <w:r w:rsidR="0098371A" w:rsidRPr="00DD7389">
            <w:rPr>
              <w:rFonts w:ascii="Verdana" w:hAnsi="Verdana"/>
            </w:rPr>
            <w:fldChar w:fldCharType="separate"/>
          </w:r>
          <w:r w:rsidR="0098371A" w:rsidRPr="00DD7389">
            <w:rPr>
              <w:rFonts w:ascii="Verdana" w:hAnsi="Verdana"/>
              <w:noProof/>
            </w:rPr>
            <w:t>(2017)</w:t>
          </w:r>
          <w:r w:rsidR="0098371A" w:rsidRPr="00DD7389">
            <w:rPr>
              <w:rFonts w:ascii="Verdana" w:hAnsi="Verdana"/>
            </w:rPr>
            <w:fldChar w:fldCharType="end"/>
          </w:r>
        </w:sdtContent>
      </w:sdt>
      <w:r w:rsidRPr="00DD7389">
        <w:rPr>
          <w:rFonts w:ascii="Verdana" w:hAnsi="Verdana"/>
        </w:rPr>
        <w:t xml:space="preserve"> e</w:t>
      </w:r>
      <w:r w:rsidR="0056779D" w:rsidRPr="00DD7389">
        <w:rPr>
          <w:rFonts w:ascii="Verdana" w:hAnsi="Verdana"/>
        </w:rPr>
        <w:t>s fundamental desarrollar</w:t>
      </w:r>
      <w:r w:rsidRPr="00DD7389">
        <w:rPr>
          <w:rFonts w:ascii="Verdana" w:hAnsi="Verdana"/>
        </w:rPr>
        <w:t xml:space="preserve"> la estimulación </w:t>
      </w:r>
      <w:r w:rsidR="0056779D" w:rsidRPr="00DD7389">
        <w:rPr>
          <w:rFonts w:ascii="Verdana" w:hAnsi="Verdana"/>
        </w:rPr>
        <w:t>c</w:t>
      </w:r>
      <w:r w:rsidR="00A96C74">
        <w:rPr>
          <w:rFonts w:ascii="Verdana" w:hAnsi="Verdana"/>
        </w:rPr>
        <w:t xml:space="preserve">ognitiva en estos, debido a que esta sustenta </w:t>
      </w:r>
      <w:r w:rsidRPr="00DD7389">
        <w:rPr>
          <w:rFonts w:ascii="Verdana" w:hAnsi="Verdana"/>
        </w:rPr>
        <w:t xml:space="preserve">el aprendizaje. Un niño debe tener buena atención para focalizarse en un estímulo, además de una adecuada concentración </w:t>
      </w:r>
      <w:r w:rsidRPr="00A96C74">
        <w:rPr>
          <w:rFonts w:ascii="Verdana" w:hAnsi="Verdana"/>
        </w:rPr>
        <w:t xml:space="preserve">para mantenerse en una determinada actividad, eliminando distractores y llevándola a cabo en su </w:t>
      </w:r>
      <w:r w:rsidR="00A96C74" w:rsidRPr="00A96C74">
        <w:rPr>
          <w:rFonts w:ascii="Verdana" w:hAnsi="Verdana"/>
        </w:rPr>
        <w:t>totalidad.</w:t>
      </w:r>
    </w:p>
    <w:p w:rsidR="005B21C4" w:rsidRDefault="001D7B3E" w:rsidP="00292E6C">
      <w:pPr>
        <w:widowControl w:val="0"/>
        <w:autoSpaceDE w:val="0"/>
        <w:autoSpaceDN w:val="0"/>
        <w:spacing w:before="240" w:after="120"/>
        <w:jc w:val="both"/>
        <w:rPr>
          <w:rFonts w:ascii="Verdana" w:eastAsia="Arial" w:hAnsi="Verdana"/>
          <w:noProof/>
          <w:lang w:eastAsia="en-US"/>
        </w:rPr>
      </w:pPr>
      <w:r w:rsidRPr="00DD7389">
        <w:rPr>
          <w:rFonts w:ascii="Verdana" w:eastAsia="Arial" w:hAnsi="Verdana"/>
          <w:noProof/>
          <w:lang w:eastAsia="en-US"/>
        </w:rPr>
        <w:t>Generar los procesos de conocimientos en el aula es muy importante para que los alumnos puedan lograr aprendizajes significativos, para esto existen varias estrategias basadas en la gamificación que implementadas de forma correcta permiten lograr alcances importantes en los educandos. De acuerdo con</w:t>
      </w:r>
      <w:r w:rsidR="0056779D" w:rsidRPr="00DD7389">
        <w:rPr>
          <w:rFonts w:ascii="Verdana" w:eastAsia="Arial" w:hAnsi="Verdana"/>
          <w:noProof/>
          <w:lang w:eastAsia="en-US"/>
        </w:rPr>
        <w:t xml:space="preserve"> García, et al.</w:t>
      </w:r>
      <w:r w:rsidRPr="00DD7389">
        <w:rPr>
          <w:rFonts w:ascii="Verdana" w:eastAsia="Arial" w:hAnsi="Verdana"/>
          <w:noProof/>
          <w:lang w:eastAsia="en-US"/>
        </w:rPr>
        <w:t xml:space="preserve"> </w:t>
      </w:r>
      <w:sdt>
        <w:sdtPr>
          <w:rPr>
            <w:rFonts w:ascii="Verdana" w:eastAsia="Arial" w:hAnsi="Verdana"/>
            <w:noProof/>
            <w:lang w:eastAsia="en-US"/>
          </w:rPr>
          <w:id w:val="-1634864230"/>
          <w:citation/>
        </w:sdtPr>
        <w:sdtEndPr/>
        <w:sdtContent>
          <w:r w:rsidRPr="00DD7389">
            <w:rPr>
              <w:rFonts w:ascii="Verdana" w:eastAsia="Arial" w:hAnsi="Verdana"/>
              <w:noProof/>
              <w:lang w:eastAsia="en-US"/>
            </w:rPr>
            <w:fldChar w:fldCharType="begin"/>
          </w:r>
          <w:r w:rsidR="0056779D" w:rsidRPr="00DD7389">
            <w:rPr>
              <w:rFonts w:ascii="Verdana" w:eastAsia="Arial" w:hAnsi="Verdana"/>
              <w:noProof/>
              <w:lang w:eastAsia="en-US"/>
            </w:rPr>
            <w:instrText xml:space="preserve">CITATION Gar202 \n  \t  \l 3082 </w:instrText>
          </w:r>
          <w:r w:rsidRPr="00DD7389">
            <w:rPr>
              <w:rFonts w:ascii="Verdana" w:eastAsia="Arial" w:hAnsi="Verdana"/>
              <w:noProof/>
              <w:lang w:eastAsia="en-US"/>
            </w:rPr>
            <w:fldChar w:fldCharType="separate"/>
          </w:r>
          <w:r w:rsidR="0056779D" w:rsidRPr="00DD7389">
            <w:rPr>
              <w:rFonts w:ascii="Verdana" w:eastAsia="Arial" w:hAnsi="Verdana"/>
              <w:noProof/>
              <w:lang w:eastAsia="en-US"/>
            </w:rPr>
            <w:t>(2020)</w:t>
          </w:r>
          <w:r w:rsidRPr="00DD7389">
            <w:rPr>
              <w:rFonts w:ascii="Verdana" w:eastAsia="Arial" w:hAnsi="Verdana"/>
              <w:noProof/>
              <w:lang w:eastAsia="en-US"/>
            </w:rPr>
            <w:fldChar w:fldCharType="end"/>
          </w:r>
        </w:sdtContent>
      </w:sdt>
      <w:r w:rsidRPr="00DD7389">
        <w:rPr>
          <w:rFonts w:ascii="Verdana" w:eastAsia="Arial" w:hAnsi="Verdana"/>
          <w:noProof/>
          <w:lang w:eastAsia="en-US"/>
        </w:rPr>
        <w:t xml:space="preserve"> </w:t>
      </w:r>
    </w:p>
    <w:p w:rsidR="001D7B3E" w:rsidRPr="00DD7389" w:rsidRDefault="005B21C4" w:rsidP="005B21C4">
      <w:pPr>
        <w:widowControl w:val="0"/>
        <w:autoSpaceDE w:val="0"/>
        <w:autoSpaceDN w:val="0"/>
        <w:spacing w:before="240" w:after="120"/>
        <w:ind w:left="708"/>
        <w:jc w:val="both"/>
        <w:rPr>
          <w:rFonts w:ascii="Verdana" w:eastAsia="Arial" w:hAnsi="Verdana"/>
          <w:noProof/>
          <w:lang w:eastAsia="en-US"/>
        </w:rPr>
      </w:pPr>
      <w:r>
        <w:rPr>
          <w:rFonts w:ascii="Verdana" w:eastAsia="Arial" w:hAnsi="Verdana"/>
          <w:noProof/>
          <w:lang w:eastAsia="en-US"/>
        </w:rPr>
        <w:t>C</w:t>
      </w:r>
      <w:r w:rsidR="001D7B3E" w:rsidRPr="00DD7389">
        <w:rPr>
          <w:rFonts w:ascii="Verdana" w:eastAsia="Arial" w:hAnsi="Verdana"/>
          <w:noProof/>
          <w:lang w:eastAsia="en-US"/>
        </w:rPr>
        <w:t>onsideran que la gamificación es una estrategia basada en los fundamentos del juego para generar ambientes, condiciones para propiciar el aprendizaje significativo, sobre la base de la compensación a corto y largo plazo, donde la estructuración permita que las metas a alcanzar sean uno de los factores motivacionales para que los estudiantes se acerquen al conocimiento, generando en ellos hábitos de autorregulación, pero a su vez el reforzamiento de la concentración, memoria y atención (p. 130).</w:t>
      </w:r>
    </w:p>
    <w:p w:rsidR="001D7B3E" w:rsidRPr="00DD7389" w:rsidRDefault="001D7B3E" w:rsidP="00292E6C">
      <w:pPr>
        <w:widowControl w:val="0"/>
        <w:autoSpaceDE w:val="0"/>
        <w:autoSpaceDN w:val="0"/>
        <w:spacing w:after="120"/>
        <w:jc w:val="both"/>
        <w:rPr>
          <w:rFonts w:ascii="Verdana" w:eastAsia="Arial" w:hAnsi="Verdana"/>
          <w:noProof/>
          <w:lang w:eastAsia="en-US"/>
        </w:rPr>
      </w:pPr>
      <w:r w:rsidRPr="00DD7389">
        <w:rPr>
          <w:rFonts w:ascii="Verdana" w:eastAsia="Arial" w:hAnsi="Verdana"/>
          <w:noProof/>
          <w:lang w:eastAsia="en-US"/>
        </w:rPr>
        <w:t>Con las palabras de</w:t>
      </w:r>
      <w:r w:rsidR="0056779D" w:rsidRPr="00DD7389">
        <w:rPr>
          <w:rFonts w:ascii="Verdana" w:eastAsia="Arial" w:hAnsi="Verdana"/>
          <w:noProof/>
          <w:lang w:eastAsia="en-US"/>
        </w:rPr>
        <w:t xml:space="preserve"> Holguín, et, al.</w:t>
      </w:r>
      <w:r w:rsidRPr="00DD7389">
        <w:rPr>
          <w:rFonts w:ascii="Verdana" w:eastAsia="Arial" w:hAnsi="Verdana"/>
          <w:noProof/>
          <w:lang w:eastAsia="en-US"/>
        </w:rPr>
        <w:t xml:space="preserve"> </w:t>
      </w:r>
      <w:sdt>
        <w:sdtPr>
          <w:rPr>
            <w:rFonts w:ascii="Verdana" w:eastAsia="Arial" w:hAnsi="Verdana"/>
            <w:noProof/>
            <w:lang w:eastAsia="en-US"/>
          </w:rPr>
          <w:id w:val="-2086986044"/>
          <w:citation/>
        </w:sdtPr>
        <w:sdtEndPr/>
        <w:sdtContent>
          <w:r w:rsidRPr="00DD7389">
            <w:rPr>
              <w:rFonts w:ascii="Verdana" w:eastAsia="Arial" w:hAnsi="Verdana"/>
              <w:noProof/>
              <w:lang w:eastAsia="en-US"/>
            </w:rPr>
            <w:fldChar w:fldCharType="begin"/>
          </w:r>
          <w:r w:rsidR="0056779D" w:rsidRPr="00DD7389">
            <w:rPr>
              <w:rFonts w:ascii="Verdana" w:eastAsia="Arial" w:hAnsi="Verdana"/>
              <w:noProof/>
              <w:lang w:eastAsia="en-US"/>
            </w:rPr>
            <w:instrText xml:space="preserve">CITATION Hol20 \n  \t  \l 3082 </w:instrText>
          </w:r>
          <w:r w:rsidRPr="00DD7389">
            <w:rPr>
              <w:rFonts w:ascii="Verdana" w:eastAsia="Arial" w:hAnsi="Verdana"/>
              <w:noProof/>
              <w:lang w:eastAsia="en-US"/>
            </w:rPr>
            <w:fldChar w:fldCharType="separate"/>
          </w:r>
          <w:r w:rsidR="0056779D" w:rsidRPr="00DD7389">
            <w:rPr>
              <w:rFonts w:ascii="Verdana" w:eastAsia="Arial" w:hAnsi="Verdana"/>
              <w:noProof/>
              <w:lang w:eastAsia="en-US"/>
            </w:rPr>
            <w:t>(2020)</w:t>
          </w:r>
          <w:r w:rsidRPr="00DD7389">
            <w:rPr>
              <w:rFonts w:ascii="Verdana" w:eastAsia="Arial" w:hAnsi="Verdana"/>
              <w:noProof/>
              <w:lang w:eastAsia="en-US"/>
            </w:rPr>
            <w:fldChar w:fldCharType="end"/>
          </w:r>
        </w:sdtContent>
      </w:sdt>
      <w:r w:rsidRPr="00DD7389">
        <w:rPr>
          <w:rFonts w:ascii="Verdana" w:eastAsia="Arial" w:hAnsi="Verdana"/>
          <w:noProof/>
          <w:lang w:eastAsia="en-US"/>
        </w:rPr>
        <w:t xml:space="preserve"> en la investigación realizada con el título: Gamificación en la Enseñanza de las Matemáticas: Una Revisión Sistemática, tuvo como resultado principal de esta investigación que la gamificación puede incidir significativamente en el mejoramiento del rendimiento académico de los estudiantes siempre que las aplicaciones utilizadas estén diseñadas bajo parámetros cognitivos adecuados, se cimienten en elementos gamificados y el docente acompañe dicho proceso.</w:t>
      </w:r>
    </w:p>
    <w:p w:rsidR="001D7B3E" w:rsidRPr="00DD7389" w:rsidRDefault="001D7B3E" w:rsidP="00292E6C">
      <w:pPr>
        <w:widowControl w:val="0"/>
        <w:autoSpaceDE w:val="0"/>
        <w:autoSpaceDN w:val="0"/>
        <w:spacing w:after="120"/>
        <w:jc w:val="both"/>
        <w:rPr>
          <w:rFonts w:ascii="Verdana" w:eastAsia="Arial" w:hAnsi="Verdana"/>
          <w:noProof/>
          <w:lang w:eastAsia="en-US"/>
        </w:rPr>
      </w:pPr>
      <w:r w:rsidRPr="00DD7389">
        <w:rPr>
          <w:rFonts w:ascii="Verdana" w:eastAsia="Arial" w:hAnsi="Verdana"/>
          <w:noProof/>
          <w:lang w:eastAsia="en-US"/>
        </w:rPr>
        <w:t>Del mismo modo</w:t>
      </w:r>
      <w:r w:rsidR="0056779D" w:rsidRPr="00DD7389">
        <w:rPr>
          <w:rFonts w:ascii="Verdana" w:eastAsia="Arial" w:hAnsi="Verdana"/>
          <w:noProof/>
          <w:lang w:eastAsia="en-US"/>
        </w:rPr>
        <w:t xml:space="preserve"> Pedroza, et, al.</w:t>
      </w:r>
      <w:r w:rsidRPr="00DD7389">
        <w:rPr>
          <w:rFonts w:ascii="Verdana" w:eastAsia="Arial" w:hAnsi="Verdana"/>
          <w:noProof/>
          <w:lang w:eastAsia="en-US"/>
        </w:rPr>
        <w:t xml:space="preserve"> </w:t>
      </w:r>
      <w:sdt>
        <w:sdtPr>
          <w:rPr>
            <w:rFonts w:ascii="Verdana" w:eastAsia="Arial" w:hAnsi="Verdana"/>
            <w:noProof/>
            <w:lang w:eastAsia="en-US"/>
          </w:rPr>
          <w:id w:val="167990565"/>
          <w:citation/>
        </w:sdtPr>
        <w:sdtEndPr/>
        <w:sdtContent>
          <w:r w:rsidRPr="00DD7389">
            <w:rPr>
              <w:rFonts w:ascii="Verdana" w:eastAsia="Arial" w:hAnsi="Verdana"/>
              <w:noProof/>
              <w:lang w:eastAsia="en-US"/>
            </w:rPr>
            <w:fldChar w:fldCharType="begin"/>
          </w:r>
          <w:r w:rsidR="0056779D" w:rsidRPr="00DD7389">
            <w:rPr>
              <w:rFonts w:ascii="Verdana" w:eastAsia="Arial" w:hAnsi="Verdana"/>
              <w:noProof/>
              <w:lang w:eastAsia="en-US"/>
            </w:rPr>
            <w:instrText xml:space="preserve">CITATION Ped18 \n  \t  \l 3082 </w:instrText>
          </w:r>
          <w:r w:rsidRPr="00DD7389">
            <w:rPr>
              <w:rFonts w:ascii="Verdana" w:eastAsia="Arial" w:hAnsi="Verdana"/>
              <w:noProof/>
              <w:lang w:eastAsia="en-US"/>
            </w:rPr>
            <w:fldChar w:fldCharType="separate"/>
          </w:r>
          <w:r w:rsidR="0056779D" w:rsidRPr="00DD7389">
            <w:rPr>
              <w:rFonts w:ascii="Verdana" w:eastAsia="Arial" w:hAnsi="Verdana"/>
              <w:noProof/>
              <w:lang w:eastAsia="en-US"/>
            </w:rPr>
            <w:t>(2018)</w:t>
          </w:r>
          <w:r w:rsidRPr="00DD7389">
            <w:rPr>
              <w:rFonts w:ascii="Verdana" w:eastAsia="Arial" w:hAnsi="Verdana"/>
              <w:noProof/>
              <w:lang w:eastAsia="en-US"/>
            </w:rPr>
            <w:fldChar w:fldCharType="end"/>
          </w:r>
        </w:sdtContent>
      </w:sdt>
      <w:r w:rsidRPr="00DD7389">
        <w:rPr>
          <w:rFonts w:ascii="Verdana" w:eastAsia="Arial" w:hAnsi="Verdana"/>
          <w:noProof/>
          <w:lang w:eastAsia="en-US"/>
        </w:rPr>
        <w:t xml:space="preserve"> publica en su artículo: “Propuesta de un Tutor Cognitivo semi - automatizado con gamificación e interfaces tangibles para álgebra” confirma que la gamificación consiste en la aplicación de principios y elementos propios del juego en un ambiente de aprendizaje, con el propósito de influir en el comportamiento, incrementar la motivación y favorecer la participación de los estudiantes. Las interfaces de usuario tangibles son "interfaces que se ocupan de proporcionar representaciones tangibles a la información y controles digitales, lo que permite a los usuarios captar los datos, literalmente con sus manos". Es decir que el desarrollo cognitivo mediante la gamificación es exitoso mismo que fomenta en el estudiante importantes espacios para la participación activa siendo protagonista de su propio conocimiento.</w:t>
      </w:r>
    </w:p>
    <w:p w:rsidR="008B4B89" w:rsidRPr="00DD7389" w:rsidRDefault="008B4B89" w:rsidP="00292E6C">
      <w:pPr>
        <w:widowControl w:val="0"/>
        <w:autoSpaceDE w:val="0"/>
        <w:autoSpaceDN w:val="0"/>
        <w:spacing w:after="120"/>
        <w:jc w:val="both"/>
        <w:rPr>
          <w:rFonts w:ascii="Verdana" w:eastAsia="Arial" w:hAnsi="Verdana"/>
          <w:noProof/>
          <w:lang w:eastAsia="en-US"/>
        </w:rPr>
      </w:pPr>
      <w:r w:rsidRPr="00DD7389">
        <w:rPr>
          <w:rFonts w:ascii="Verdana" w:eastAsia="Arial" w:hAnsi="Verdana"/>
          <w:noProof/>
          <w:lang w:eastAsia="en-US"/>
        </w:rPr>
        <w:lastRenderedPageBreak/>
        <w:t>En correspondencia con los planteamientos anteriores se definieron algunas interrogantes de investigación relaciondas con el tema, tales como ¿Qué rasgos caracterizan el proceso de enseñanza-aprendizaje del desarrollo cognitivo en preparatoria, con énfasis en la Escuela de Educación Básica “Babahoyo”?, ¿Cuál es el estado inicial del desarrollo de las habilidades cognitivas en los estudiantes de preparatoria de la Escuela de Educación Básica “Babahoyo”?, ¿Cuáles son los fundamentos teóricos que deben caracterizar al desarrollo de las habilidades cognitivas en los estudiantes de preparatoria?, ¿Qué componentes y relaciones deberán conformar la estrategia didáctica para desarrollar las habilidades cognitivas en los estudiantes de preparatoria de la Escuela de Educación Básica “Babahoyo”?, ¿Qué resultados se obtendrán de la valoración teórica y práctica de la estrategia didáctica propuesta?.</w:t>
      </w:r>
    </w:p>
    <w:p w:rsidR="008B4B89" w:rsidRDefault="008B4B89" w:rsidP="00292E6C">
      <w:pPr>
        <w:widowControl w:val="0"/>
        <w:autoSpaceDE w:val="0"/>
        <w:autoSpaceDN w:val="0"/>
        <w:spacing w:after="120"/>
        <w:jc w:val="both"/>
        <w:rPr>
          <w:rFonts w:ascii="Verdana" w:eastAsia="Arial" w:hAnsi="Verdana"/>
          <w:noProof/>
          <w:lang w:eastAsia="en-US"/>
        </w:rPr>
      </w:pPr>
      <w:r w:rsidRPr="00A96C74">
        <w:rPr>
          <w:rFonts w:ascii="Verdana" w:eastAsia="Arial" w:hAnsi="Verdana"/>
          <w:noProof/>
          <w:lang w:eastAsia="en-US"/>
        </w:rPr>
        <w:t>En funci</w:t>
      </w:r>
      <w:r w:rsidR="0056779D" w:rsidRPr="00A96C74">
        <w:rPr>
          <w:rFonts w:ascii="Verdana" w:eastAsia="Arial" w:hAnsi="Verdana"/>
          <w:noProof/>
          <w:lang w:eastAsia="en-US"/>
        </w:rPr>
        <w:t>ón de la</w:t>
      </w:r>
      <w:r w:rsidRPr="00A96C74">
        <w:rPr>
          <w:rFonts w:ascii="Verdana" w:eastAsia="Arial" w:hAnsi="Verdana"/>
          <w:noProof/>
          <w:lang w:eastAsia="en-US"/>
        </w:rPr>
        <w:t>s inter</w:t>
      </w:r>
      <w:r w:rsidR="00A96C74" w:rsidRPr="00A96C74">
        <w:rPr>
          <w:rFonts w:ascii="Verdana" w:eastAsia="Arial" w:hAnsi="Verdana"/>
          <w:noProof/>
          <w:lang w:eastAsia="en-US"/>
        </w:rPr>
        <w:t xml:space="preserve">rogantes planteados se definió como </w:t>
      </w:r>
      <w:r w:rsidRPr="00A96C74">
        <w:rPr>
          <w:rFonts w:ascii="Verdana" w:eastAsia="Arial" w:hAnsi="Verdana"/>
          <w:noProof/>
          <w:lang w:eastAsia="en-US"/>
        </w:rPr>
        <w:t>o</w:t>
      </w:r>
      <w:r w:rsidR="00C16F50" w:rsidRPr="00A96C74">
        <w:rPr>
          <w:rFonts w:ascii="Verdana" w:eastAsia="Arial" w:hAnsi="Verdana"/>
          <w:noProof/>
          <w:lang w:eastAsia="en-US"/>
        </w:rPr>
        <w:t xml:space="preserve">bjetivo de la investigación </w:t>
      </w:r>
      <w:r w:rsidR="00A96C74" w:rsidRPr="00A96C74">
        <w:rPr>
          <w:rFonts w:ascii="Verdana" w:eastAsia="Arial" w:hAnsi="Verdana"/>
          <w:noProof/>
          <w:lang w:eastAsia="en-US"/>
        </w:rPr>
        <w:t xml:space="preserve">como </w:t>
      </w:r>
      <w:r w:rsidRPr="00A96C74">
        <w:rPr>
          <w:rFonts w:ascii="Verdana" w:eastAsia="Arial" w:hAnsi="Verdana"/>
          <w:noProof/>
          <w:lang w:eastAsia="en-US"/>
        </w:rPr>
        <w:t>diseñar estrategias didácticas fundamentadas en la gamificación para el desarrollo de las habilidades cognitivas en estudiantes del nivel de preparatoria de la Escuela de Educación Básica “Babahoyo”.</w:t>
      </w:r>
    </w:p>
    <w:p w:rsidR="00471FF3" w:rsidRPr="00DD7389" w:rsidRDefault="00471FF3" w:rsidP="00292E6C">
      <w:pPr>
        <w:widowControl w:val="0"/>
        <w:autoSpaceDE w:val="0"/>
        <w:autoSpaceDN w:val="0"/>
        <w:spacing w:after="120"/>
        <w:jc w:val="both"/>
        <w:rPr>
          <w:rFonts w:ascii="Verdana" w:eastAsia="Arial" w:hAnsi="Verdana"/>
          <w:noProof/>
          <w:lang w:eastAsia="en-US"/>
        </w:rPr>
      </w:pPr>
      <w:r>
        <w:rPr>
          <w:rFonts w:ascii="Verdana" w:eastAsia="Arial" w:hAnsi="Verdana"/>
          <w:noProof/>
          <w:lang w:eastAsia="en-US"/>
        </w:rPr>
        <w:t>METODOLOGÍA</w:t>
      </w:r>
    </w:p>
    <w:p w:rsidR="008B4B89" w:rsidRPr="00DD7389" w:rsidRDefault="008B4B89" w:rsidP="00292E6C">
      <w:pPr>
        <w:widowControl w:val="0"/>
        <w:autoSpaceDE w:val="0"/>
        <w:autoSpaceDN w:val="0"/>
        <w:spacing w:after="120"/>
        <w:jc w:val="both"/>
        <w:rPr>
          <w:rFonts w:ascii="Verdana" w:eastAsia="Arial" w:hAnsi="Verdana"/>
          <w:noProof/>
          <w:lang w:eastAsia="en-US"/>
        </w:rPr>
      </w:pPr>
      <w:r w:rsidRPr="00DD7389">
        <w:rPr>
          <w:rFonts w:ascii="Verdana" w:eastAsia="Arial" w:hAnsi="Verdana"/>
          <w:noProof/>
          <w:lang w:eastAsia="en-US"/>
        </w:rPr>
        <w:t>Para dar cumplimiento al objetivo investigativo se definió emplear un enfoque mixto coherente con un tipo de investigación descriptiva explicativa, porque aborda el problema del desarrollo cognitivo en los estudiantes de preparatoria, se analizaron los aspectos más relevantes para su respectivo fortalecimiento y se explica cada uno de ellos para la elaboración de la propuesta y de tipo cuantitativo – cualitativo. Para lo cual se emplearon métodos, técnicas e instrumentos de recolección de datos como entrevistas, encuestas, inventario de desarrollo del área cognitiva.</w:t>
      </w:r>
    </w:p>
    <w:p w:rsidR="009748C0" w:rsidRDefault="008B4B89" w:rsidP="00292E6C">
      <w:pPr>
        <w:spacing w:after="120"/>
        <w:jc w:val="both"/>
        <w:rPr>
          <w:rFonts w:ascii="Verdana" w:eastAsia="Arial" w:hAnsi="Verdana"/>
          <w:noProof/>
          <w:lang w:eastAsia="en-US"/>
        </w:rPr>
      </w:pPr>
      <w:r w:rsidRPr="00DD7389">
        <w:rPr>
          <w:rFonts w:ascii="Verdana" w:eastAsia="Arial" w:hAnsi="Verdana"/>
          <w:noProof/>
          <w:lang w:eastAsia="en-US"/>
        </w:rPr>
        <w:t xml:space="preserve">Las técnicas empleadas para obtener información </w:t>
      </w:r>
      <w:r w:rsidRPr="009748C0">
        <w:rPr>
          <w:rFonts w:ascii="Verdana" w:eastAsia="Arial" w:hAnsi="Verdana"/>
          <w:noProof/>
          <w:lang w:eastAsia="en-US"/>
        </w:rPr>
        <w:t>comprendieron</w:t>
      </w:r>
      <w:r w:rsidR="009748C0">
        <w:rPr>
          <w:rFonts w:ascii="Verdana" w:eastAsia="Arial" w:hAnsi="Verdana"/>
          <w:noProof/>
          <w:lang w:eastAsia="en-US"/>
        </w:rPr>
        <w:t>:</w:t>
      </w:r>
    </w:p>
    <w:p w:rsidR="008B4B89" w:rsidRPr="009748C0" w:rsidRDefault="008B4B89" w:rsidP="00292E6C">
      <w:pPr>
        <w:spacing w:after="120"/>
        <w:jc w:val="both"/>
        <w:rPr>
          <w:rFonts w:ascii="Verdana" w:hAnsi="Verdana"/>
          <w:color w:val="000000"/>
          <w:lang w:eastAsia="en-US"/>
        </w:rPr>
      </w:pPr>
      <w:r w:rsidRPr="009748C0">
        <w:rPr>
          <w:rFonts w:ascii="Verdana" w:hAnsi="Verdana"/>
          <w:color w:val="000000"/>
          <w:lang w:eastAsia="en-US"/>
        </w:rPr>
        <w:t>Encuesta: Se encuestaron a 7 docentes en el tema del proceso de desarrollo de las habilidades cognitivas</w:t>
      </w:r>
      <w:r w:rsidRPr="009748C0">
        <w:rPr>
          <w:rFonts w:ascii="Verdana" w:hAnsi="Verdana"/>
          <w:lang w:eastAsia="en-US"/>
        </w:rPr>
        <w:t xml:space="preserve"> en el contexto del proceso de enseñanza – aprendizaje del desarrollo cognitivo </w:t>
      </w:r>
      <w:r w:rsidRPr="009748C0">
        <w:rPr>
          <w:rFonts w:ascii="Verdana" w:hAnsi="Verdana"/>
          <w:color w:val="000000"/>
          <w:lang w:eastAsia="en-US"/>
        </w:rPr>
        <w:t xml:space="preserve">en niños de 5 a 6 años. </w:t>
      </w:r>
    </w:p>
    <w:p w:rsidR="008B4B89" w:rsidRPr="009748C0" w:rsidRDefault="008B4B89" w:rsidP="00292E6C">
      <w:pPr>
        <w:widowControl w:val="0"/>
        <w:autoSpaceDE w:val="0"/>
        <w:autoSpaceDN w:val="0"/>
        <w:spacing w:after="120"/>
        <w:jc w:val="both"/>
        <w:rPr>
          <w:rFonts w:ascii="Verdana" w:hAnsi="Verdana"/>
          <w:color w:val="000000"/>
          <w:lang w:eastAsia="en-US"/>
        </w:rPr>
      </w:pPr>
      <w:r w:rsidRPr="009748C0">
        <w:rPr>
          <w:rFonts w:ascii="Verdana" w:hAnsi="Verdana"/>
          <w:color w:val="000000"/>
          <w:lang w:eastAsia="en-US"/>
        </w:rPr>
        <w:t>Entrevista</w:t>
      </w:r>
      <w:r w:rsidR="00A96C74" w:rsidRPr="009748C0">
        <w:rPr>
          <w:rFonts w:ascii="Verdana" w:hAnsi="Verdana"/>
          <w:color w:val="000000"/>
          <w:lang w:eastAsia="en-US"/>
        </w:rPr>
        <w:t>: Se entrevistó las</w:t>
      </w:r>
      <w:r w:rsidRPr="009748C0">
        <w:rPr>
          <w:rFonts w:ascii="Verdana" w:hAnsi="Verdana"/>
          <w:color w:val="000000"/>
          <w:lang w:eastAsia="en-US"/>
        </w:rPr>
        <w:t xml:space="preserve"> autoridad</w:t>
      </w:r>
      <w:r w:rsidR="00A96C74" w:rsidRPr="009748C0">
        <w:rPr>
          <w:rFonts w:ascii="Verdana" w:hAnsi="Verdana"/>
          <w:color w:val="000000"/>
          <w:lang w:eastAsia="en-US"/>
        </w:rPr>
        <w:t>es</w:t>
      </w:r>
      <w:r w:rsidRPr="009748C0">
        <w:rPr>
          <w:rFonts w:ascii="Verdana" w:hAnsi="Verdana"/>
          <w:color w:val="000000"/>
          <w:lang w:eastAsia="en-US"/>
        </w:rPr>
        <w:t xml:space="preserve"> de la Institución en el tema del proceso de desarrollo de las habilidades cognitivas</w:t>
      </w:r>
      <w:r w:rsidRPr="009748C0">
        <w:rPr>
          <w:rFonts w:ascii="Verdana" w:hAnsi="Verdana"/>
          <w:lang w:eastAsia="en-US"/>
        </w:rPr>
        <w:t xml:space="preserve"> en el contexto del proceso de enseñanza – aprendizaje del desarrollo cognitivo en niños de 5 a 6 </w:t>
      </w:r>
      <w:r w:rsidRPr="009748C0">
        <w:rPr>
          <w:rFonts w:ascii="Verdana" w:hAnsi="Verdana"/>
          <w:color w:val="000000"/>
          <w:lang w:eastAsia="en-US"/>
        </w:rPr>
        <w:t xml:space="preserve">años. </w:t>
      </w:r>
    </w:p>
    <w:p w:rsidR="008B4B89" w:rsidRPr="009748C0" w:rsidRDefault="008B4B89" w:rsidP="00292E6C">
      <w:pPr>
        <w:widowControl w:val="0"/>
        <w:autoSpaceDE w:val="0"/>
        <w:autoSpaceDN w:val="0"/>
        <w:spacing w:after="120"/>
        <w:jc w:val="both"/>
        <w:rPr>
          <w:rFonts w:ascii="Verdana" w:hAnsi="Verdana"/>
          <w:color w:val="000000"/>
          <w:lang w:eastAsia="en-US"/>
        </w:rPr>
      </w:pPr>
      <w:r w:rsidRPr="009748C0">
        <w:rPr>
          <w:rFonts w:ascii="Verdana" w:hAnsi="Verdana"/>
          <w:color w:val="000000"/>
          <w:lang w:eastAsia="en-US"/>
        </w:rPr>
        <w:t>Prueba para diagnosticar: Se aplicó el Inventario de desarrollo Battelle</w:t>
      </w:r>
      <w:sdt>
        <w:sdtPr>
          <w:rPr>
            <w:rFonts w:ascii="Verdana" w:hAnsi="Verdana"/>
            <w:color w:val="000000"/>
            <w:lang w:eastAsia="en-US"/>
          </w:rPr>
          <w:id w:val="-1633709336"/>
          <w:citation/>
        </w:sdtPr>
        <w:sdtEndPr/>
        <w:sdtContent>
          <w:r w:rsidR="00CD29F0" w:rsidRPr="009748C0">
            <w:rPr>
              <w:rFonts w:ascii="Verdana" w:hAnsi="Verdana"/>
              <w:color w:val="000000"/>
              <w:lang w:eastAsia="en-US"/>
            </w:rPr>
            <w:fldChar w:fldCharType="begin"/>
          </w:r>
          <w:r w:rsidR="00E4122E" w:rsidRPr="009748C0">
            <w:rPr>
              <w:rFonts w:ascii="Verdana" w:hAnsi="Verdana"/>
              <w:color w:val="000000"/>
              <w:lang w:eastAsia="en-US"/>
            </w:rPr>
            <w:instrText xml:space="preserve">CITATION New \n  \t  \l 3082 </w:instrText>
          </w:r>
          <w:r w:rsidR="00CD29F0" w:rsidRPr="009748C0">
            <w:rPr>
              <w:rFonts w:ascii="Verdana" w:hAnsi="Verdana"/>
              <w:color w:val="000000"/>
              <w:lang w:eastAsia="en-US"/>
            </w:rPr>
            <w:fldChar w:fldCharType="separate"/>
          </w:r>
          <w:r w:rsidR="00E4122E" w:rsidRPr="009748C0">
            <w:rPr>
              <w:rFonts w:ascii="Verdana" w:hAnsi="Verdana"/>
              <w:noProof/>
              <w:color w:val="000000"/>
              <w:lang w:eastAsia="en-US"/>
            </w:rPr>
            <w:t xml:space="preserve"> (2011)</w:t>
          </w:r>
          <w:r w:rsidR="00CD29F0" w:rsidRPr="009748C0">
            <w:rPr>
              <w:rFonts w:ascii="Verdana" w:hAnsi="Verdana"/>
              <w:color w:val="000000"/>
              <w:lang w:eastAsia="en-US"/>
            </w:rPr>
            <w:fldChar w:fldCharType="end"/>
          </w:r>
        </w:sdtContent>
      </w:sdt>
      <w:r w:rsidR="00A96C74" w:rsidRPr="009748C0">
        <w:rPr>
          <w:rFonts w:ascii="Verdana" w:hAnsi="Verdana"/>
          <w:color w:val="000000"/>
          <w:lang w:eastAsia="en-US"/>
        </w:rPr>
        <w:t xml:space="preserve"> </w:t>
      </w:r>
      <w:r w:rsidRPr="009748C0">
        <w:rPr>
          <w:rFonts w:ascii="Verdana" w:hAnsi="Verdana"/>
          <w:color w:val="000000"/>
          <w:lang w:eastAsia="en-US"/>
        </w:rPr>
        <w:t>del área cognitiva a una muestra de 24 niños del Subnivel de Preparatoria mediante un muestreo no probabilístico intencionado, para el diagnóstico del estado actual del desarrollo de las habilidades cognitivas de los niños, lo que permitirá exteriorizar pensamientos, actitudes y experiencias para relacionarse e interactuar positivamente con los demás.</w:t>
      </w:r>
    </w:p>
    <w:p w:rsidR="008B4B89" w:rsidRPr="009748C0" w:rsidRDefault="008B4B89" w:rsidP="00292E6C">
      <w:pPr>
        <w:widowControl w:val="0"/>
        <w:autoSpaceDE w:val="0"/>
        <w:autoSpaceDN w:val="0"/>
        <w:spacing w:after="120"/>
        <w:jc w:val="both"/>
        <w:rPr>
          <w:rFonts w:ascii="Verdana" w:hAnsi="Verdana"/>
          <w:color w:val="000000"/>
          <w:lang w:eastAsia="en-US"/>
        </w:rPr>
      </w:pPr>
      <w:r w:rsidRPr="009748C0">
        <w:rPr>
          <w:rFonts w:ascii="Verdana" w:hAnsi="Verdana"/>
          <w:color w:val="000000"/>
          <w:lang w:eastAsia="en-US"/>
        </w:rPr>
        <w:t xml:space="preserve">Se utilizaron métodos matemáticos - estadísticos. De la estadística descriptiva se empleó el análisis porcentual para exponer los resultados y se emplearon </w:t>
      </w:r>
      <w:r w:rsidRPr="009748C0">
        <w:rPr>
          <w:rFonts w:ascii="Verdana" w:hAnsi="Verdana"/>
          <w:color w:val="000000"/>
          <w:lang w:eastAsia="en-US"/>
        </w:rPr>
        <w:lastRenderedPageBreak/>
        <w:t xml:space="preserve">gráficos y tablas para su presentación. </w:t>
      </w:r>
    </w:p>
    <w:p w:rsidR="001D7B3E" w:rsidRPr="008B3758" w:rsidRDefault="008B4B89" w:rsidP="00292E6C">
      <w:pPr>
        <w:widowControl w:val="0"/>
        <w:autoSpaceDE w:val="0"/>
        <w:autoSpaceDN w:val="0"/>
        <w:spacing w:after="120"/>
        <w:jc w:val="both"/>
        <w:rPr>
          <w:rFonts w:ascii="Verdana" w:hAnsi="Verdana"/>
          <w:color w:val="000000"/>
          <w:lang w:eastAsia="en-US"/>
        </w:rPr>
      </w:pPr>
      <w:r w:rsidRPr="009748C0">
        <w:rPr>
          <w:rFonts w:ascii="Verdana" w:hAnsi="Verdana"/>
          <w:color w:val="000000"/>
          <w:lang w:eastAsia="en-US"/>
        </w:rPr>
        <w:t>Triangulación: Se utilizó la triangulación de fuentes y la metodológica que permitió contras</w:t>
      </w:r>
      <w:r w:rsidRPr="00DD7389">
        <w:rPr>
          <w:rFonts w:ascii="Verdana" w:hAnsi="Verdana"/>
          <w:color w:val="000000"/>
          <w:lang w:eastAsia="en-US"/>
        </w:rPr>
        <w:t>tar los resultados obtenidos y establecer regularidades. Se determinaron las principales regularidades relacionadas con las dimensiones e indicadores planteados y se identifican las fortalezas y debilidades generales derivadas del estudio descriptivo diagnóstico.</w:t>
      </w:r>
    </w:p>
    <w:p w:rsidR="00C72DBD" w:rsidRPr="00DD7389" w:rsidRDefault="00C72DBD" w:rsidP="00292E6C">
      <w:pPr>
        <w:spacing w:after="120"/>
        <w:jc w:val="both"/>
        <w:rPr>
          <w:rFonts w:ascii="Verdana" w:hAnsi="Verdana"/>
          <w:bCs/>
          <w:lang w:val="es-EC" w:eastAsia="en-US"/>
        </w:rPr>
      </w:pPr>
      <w:r w:rsidRPr="00A96C74">
        <w:rPr>
          <w:rFonts w:ascii="Verdana" w:hAnsi="Verdana"/>
          <w:bCs/>
          <w:lang w:val="es-EC" w:eastAsia="en-US"/>
        </w:rPr>
        <w:t>Desde el punto de</w:t>
      </w:r>
      <w:r w:rsidR="00A96C74" w:rsidRPr="00A96C74">
        <w:rPr>
          <w:rFonts w:ascii="Verdana" w:hAnsi="Verdana"/>
          <w:bCs/>
          <w:lang w:val="es-EC" w:eastAsia="en-US"/>
        </w:rPr>
        <w:t xml:space="preserve"> vista</w:t>
      </w:r>
      <w:r w:rsidRPr="00A96C74">
        <w:rPr>
          <w:rFonts w:ascii="Verdana" w:hAnsi="Verdana"/>
          <w:bCs/>
          <w:lang w:val="es-EC" w:eastAsia="en-US"/>
        </w:rPr>
        <w:t xml:space="preserve"> procedimental, el estudio se ejecutó en tres etapas que se describen a continuación:</w:t>
      </w:r>
    </w:p>
    <w:p w:rsidR="00C72DBD" w:rsidRPr="00DD7389" w:rsidRDefault="00C72DBD" w:rsidP="00292E6C">
      <w:pPr>
        <w:spacing w:after="120"/>
        <w:jc w:val="both"/>
        <w:rPr>
          <w:rFonts w:ascii="Verdana" w:hAnsi="Verdana"/>
          <w:bCs/>
          <w:lang w:val="es-EC" w:eastAsia="en-US"/>
        </w:rPr>
      </w:pPr>
      <w:r w:rsidRPr="00DD7389">
        <w:rPr>
          <w:rFonts w:ascii="Verdana" w:hAnsi="Verdana"/>
          <w:bCs/>
          <w:lang w:val="es-EC" w:eastAsia="en-US"/>
        </w:rPr>
        <w:t>La primera etapa: Corresponde a la fase diagnóstica, dirigida en este caso a mostrar el estado actual del desarrollo cognitivo de los niños del contexto de estudio señalado, dándose a través de la aplicación del Test de Battelle</w:t>
      </w:r>
      <w:sdt>
        <w:sdtPr>
          <w:rPr>
            <w:rFonts w:ascii="Verdana" w:hAnsi="Verdana"/>
            <w:color w:val="000000"/>
            <w:lang w:eastAsia="en-US"/>
          </w:rPr>
          <w:id w:val="-362514386"/>
          <w:citation/>
        </w:sdtPr>
        <w:sdtEndPr/>
        <w:sdtContent>
          <w:r w:rsidR="00CD29F0" w:rsidRPr="00DD7389">
            <w:rPr>
              <w:rFonts w:ascii="Verdana" w:hAnsi="Verdana"/>
              <w:color w:val="000000"/>
              <w:lang w:eastAsia="en-US"/>
            </w:rPr>
            <w:fldChar w:fldCharType="begin"/>
          </w:r>
          <w:r w:rsidR="00E4122E" w:rsidRPr="00DD7389">
            <w:rPr>
              <w:rFonts w:ascii="Verdana" w:hAnsi="Verdana"/>
              <w:color w:val="000000"/>
              <w:lang w:eastAsia="en-US"/>
            </w:rPr>
            <w:instrText xml:space="preserve">CITATION New \n  \t  \l 3082 </w:instrText>
          </w:r>
          <w:r w:rsidR="00CD29F0" w:rsidRPr="00DD7389">
            <w:rPr>
              <w:rFonts w:ascii="Verdana" w:hAnsi="Verdana"/>
              <w:color w:val="000000"/>
              <w:lang w:eastAsia="en-US"/>
            </w:rPr>
            <w:fldChar w:fldCharType="separate"/>
          </w:r>
          <w:r w:rsidR="00E4122E" w:rsidRPr="00DD7389">
            <w:rPr>
              <w:rFonts w:ascii="Verdana" w:hAnsi="Verdana"/>
              <w:noProof/>
              <w:color w:val="000000"/>
              <w:lang w:eastAsia="en-US"/>
            </w:rPr>
            <w:t xml:space="preserve"> (2011)</w:t>
          </w:r>
          <w:r w:rsidR="00CD29F0" w:rsidRPr="00DD7389">
            <w:rPr>
              <w:rFonts w:ascii="Verdana" w:hAnsi="Verdana"/>
              <w:color w:val="000000"/>
              <w:lang w:eastAsia="en-US"/>
            </w:rPr>
            <w:fldChar w:fldCharType="end"/>
          </w:r>
        </w:sdtContent>
      </w:sdt>
      <w:r w:rsidRPr="00DD7389">
        <w:rPr>
          <w:rFonts w:ascii="Verdana" w:hAnsi="Verdana"/>
          <w:bCs/>
          <w:lang w:val="es-EC" w:eastAsia="en-US"/>
        </w:rPr>
        <w:t>, Inventario de desarrollo cognitivo, el cuestionario a los docentes y la entrevista a los directivos.</w:t>
      </w:r>
    </w:p>
    <w:p w:rsidR="00C72DBD" w:rsidRPr="00DD7389" w:rsidRDefault="00C72DBD" w:rsidP="00292E6C">
      <w:pPr>
        <w:spacing w:after="120"/>
        <w:jc w:val="both"/>
        <w:rPr>
          <w:rFonts w:ascii="Verdana" w:hAnsi="Verdana"/>
          <w:bCs/>
          <w:lang w:val="es-EC" w:eastAsia="en-US"/>
        </w:rPr>
      </w:pPr>
      <w:r w:rsidRPr="00DD7389">
        <w:rPr>
          <w:rFonts w:ascii="Verdana" w:hAnsi="Verdana"/>
          <w:bCs/>
          <w:lang w:val="es-EC" w:eastAsia="en-US"/>
        </w:rPr>
        <w:t xml:space="preserve">La segunda etapa: Esta definida por la construcción de la estrategia didáctica basada en la gamificación para el desarrollo cognitivo de los niños de la Escuela de Educación Básica Babahoyo. La misma se sustenta de los referentes teóricos descritos en el capitulado I, y de los hallazgos encontrado en la fase diagnóstica. </w:t>
      </w:r>
    </w:p>
    <w:p w:rsidR="00C72DBD" w:rsidRPr="00DD7389" w:rsidRDefault="00C72DBD" w:rsidP="00292E6C">
      <w:pPr>
        <w:spacing w:after="120"/>
        <w:jc w:val="both"/>
        <w:rPr>
          <w:rFonts w:ascii="Verdana" w:eastAsia="Arial" w:hAnsi="Verdana" w:cs="Arial"/>
          <w:lang w:val="es-EC" w:eastAsia="en-US"/>
        </w:rPr>
      </w:pPr>
      <w:r w:rsidRPr="00DD7389">
        <w:rPr>
          <w:rFonts w:ascii="Verdana" w:hAnsi="Verdana"/>
          <w:bCs/>
          <w:lang w:val="es-EC" w:eastAsia="en-US"/>
        </w:rPr>
        <w:t>La tercera etapa; Corresponde a la fase validación de expertos de la propuesta estrategia didáctica basada en la gamificación para el desarrollo cognitivo de los niños de la Escuela de Educación Básica Babahoyo, con el fin de ser valorado a través de la utilización del método DELPHI. En cuyos criterios de expertos y bajo la escala planteada por el método señalado indicará el nivel de pertinencia y profundidad de la misma.</w:t>
      </w:r>
    </w:p>
    <w:p w:rsidR="00C72DBD" w:rsidRPr="008B3758" w:rsidRDefault="00C72DBD" w:rsidP="00292E6C">
      <w:pPr>
        <w:keepNext/>
        <w:keepLines/>
        <w:widowControl w:val="0"/>
        <w:autoSpaceDE w:val="0"/>
        <w:autoSpaceDN w:val="0"/>
        <w:spacing w:before="40" w:after="120"/>
        <w:outlineLvl w:val="1"/>
        <w:rPr>
          <w:rFonts w:ascii="Verdana" w:hAnsi="Verdana"/>
          <w:color w:val="000000"/>
          <w:lang w:eastAsia="en-US"/>
        </w:rPr>
      </w:pPr>
      <w:bookmarkStart w:id="9" w:name="_Toc94379616"/>
      <w:r w:rsidRPr="008B3758">
        <w:rPr>
          <w:rFonts w:ascii="Verdana" w:hAnsi="Verdana"/>
          <w:color w:val="000000"/>
          <w:lang w:eastAsia="en-US"/>
        </w:rPr>
        <w:t>Población y muestra</w:t>
      </w:r>
      <w:bookmarkEnd w:id="9"/>
      <w:r w:rsidRPr="008B3758">
        <w:rPr>
          <w:rFonts w:ascii="Verdana" w:hAnsi="Verdana"/>
          <w:color w:val="000000"/>
          <w:lang w:eastAsia="en-US"/>
        </w:rPr>
        <w:t xml:space="preserve"> </w:t>
      </w:r>
    </w:p>
    <w:p w:rsidR="00C72DBD" w:rsidRPr="00DD7389" w:rsidRDefault="00F95DE2" w:rsidP="00292E6C">
      <w:pPr>
        <w:spacing w:after="120"/>
        <w:jc w:val="both"/>
        <w:rPr>
          <w:rFonts w:ascii="Verdana" w:hAnsi="Verdana"/>
          <w:color w:val="000000"/>
          <w:lang w:eastAsia="en-US"/>
        </w:rPr>
      </w:pPr>
      <w:r>
        <w:rPr>
          <w:rFonts w:ascii="Verdana" w:hAnsi="Verdana"/>
          <w:color w:val="000000"/>
          <w:lang w:eastAsia="en-US"/>
        </w:rPr>
        <w:t>E</w:t>
      </w:r>
      <w:r w:rsidR="00C72DBD" w:rsidRPr="00DD7389">
        <w:rPr>
          <w:rFonts w:ascii="Verdana" w:hAnsi="Verdana"/>
          <w:color w:val="000000"/>
          <w:lang w:eastAsia="en-US"/>
        </w:rPr>
        <w:t>n el presente estudio la población está conformada por 115 estudiantes, 7 docentes y tres directivos.</w:t>
      </w:r>
    </w:p>
    <w:p w:rsidR="00C72DBD" w:rsidRPr="00DD7389" w:rsidRDefault="00C72DBD" w:rsidP="00292E6C">
      <w:pPr>
        <w:spacing w:after="120"/>
        <w:jc w:val="both"/>
        <w:rPr>
          <w:rFonts w:ascii="Verdana" w:hAnsi="Verdana"/>
          <w:color w:val="000000"/>
          <w:lang w:eastAsia="en-US"/>
        </w:rPr>
      </w:pPr>
      <w:r w:rsidRPr="00DD7389">
        <w:rPr>
          <w:rFonts w:ascii="Verdana" w:hAnsi="Verdana"/>
          <w:color w:val="000000"/>
          <w:lang w:eastAsia="en-US"/>
        </w:rPr>
        <w:t>En el caso de la muestra, representa el</w:t>
      </w:r>
      <w:r w:rsidRPr="00DD7389">
        <w:rPr>
          <w:rFonts w:ascii="Verdana" w:eastAsia="Arial" w:hAnsi="Verdana"/>
          <w:lang w:eastAsia="en-US"/>
        </w:rPr>
        <w:t xml:space="preserve"> subconjunto que se deriva de la población, esta se considera con base a su propiedad y características que le hacen representativa en cantidad y calidad </w:t>
      </w:r>
      <w:sdt>
        <w:sdtPr>
          <w:rPr>
            <w:rFonts w:ascii="Verdana" w:eastAsia="Arial" w:hAnsi="Verdana"/>
            <w:lang w:eastAsia="en-US"/>
          </w:rPr>
          <w:id w:val="1706757850"/>
          <w:citation/>
        </w:sdtPr>
        <w:sdtEndPr/>
        <w:sdtContent>
          <w:r w:rsidRPr="00DD7389">
            <w:rPr>
              <w:rFonts w:ascii="Verdana" w:eastAsia="Arial" w:hAnsi="Verdana"/>
              <w:lang w:eastAsia="en-US"/>
            </w:rPr>
            <w:fldChar w:fldCharType="begin"/>
          </w:r>
          <w:r w:rsidRPr="00DD7389">
            <w:rPr>
              <w:rFonts w:ascii="Verdana" w:eastAsia="Arial" w:hAnsi="Verdana"/>
              <w:lang w:eastAsia="en-US"/>
            </w:rPr>
            <w:instrText xml:space="preserve">CITATION MarcadorDePosición1 \l 3082 </w:instrText>
          </w:r>
          <w:r w:rsidRPr="00DD7389">
            <w:rPr>
              <w:rFonts w:ascii="Verdana" w:eastAsia="Arial" w:hAnsi="Verdana"/>
              <w:lang w:eastAsia="en-US"/>
            </w:rPr>
            <w:fldChar w:fldCharType="separate"/>
          </w:r>
          <w:r w:rsidRPr="00DD7389">
            <w:rPr>
              <w:rFonts w:ascii="Verdana" w:eastAsia="Arial" w:hAnsi="Verdana"/>
              <w:noProof/>
              <w:lang w:eastAsia="en-US"/>
            </w:rPr>
            <w:t>(Universidad Naval, 2019)</w:t>
          </w:r>
          <w:r w:rsidRPr="00DD7389">
            <w:rPr>
              <w:rFonts w:ascii="Verdana" w:eastAsia="Arial" w:hAnsi="Verdana"/>
              <w:lang w:eastAsia="en-US"/>
            </w:rPr>
            <w:fldChar w:fldCharType="end"/>
          </w:r>
        </w:sdtContent>
      </w:sdt>
      <w:r w:rsidRPr="00DD7389">
        <w:rPr>
          <w:rFonts w:ascii="Verdana" w:eastAsia="Arial" w:hAnsi="Verdana"/>
          <w:lang w:eastAsia="en-US"/>
        </w:rPr>
        <w:t>.  En este sentido, estuvo conformada por 24 niños y niñas, 7 docentes, y 3 directivos. Basado en un muestreo no probabilístico e intencional.</w:t>
      </w:r>
    </w:p>
    <w:p w:rsidR="00C72DBD" w:rsidRPr="00DD7389" w:rsidRDefault="00C72DBD" w:rsidP="00292E6C">
      <w:pPr>
        <w:spacing w:after="120"/>
        <w:ind w:left="24" w:right="50" w:hanging="10"/>
        <w:jc w:val="both"/>
        <w:rPr>
          <w:rFonts w:ascii="Verdana" w:hAnsi="Verdana"/>
          <w:color w:val="000000"/>
          <w:lang w:eastAsia="en-US"/>
        </w:rPr>
      </w:pPr>
      <w:r w:rsidRPr="00DD7389">
        <w:rPr>
          <w:rFonts w:ascii="Verdana" w:hAnsi="Verdana"/>
          <w:color w:val="000000"/>
          <w:lang w:eastAsia="en-US"/>
        </w:rPr>
        <w:t xml:space="preserve">Dicho muestreo se sustenta de los siguientes criterios de inclusión y de exclusión: </w:t>
      </w:r>
    </w:p>
    <w:p w:rsidR="00C72DBD" w:rsidRPr="008B3758" w:rsidRDefault="00C72DBD" w:rsidP="00292E6C">
      <w:pPr>
        <w:widowControl w:val="0"/>
        <w:autoSpaceDE w:val="0"/>
        <w:autoSpaceDN w:val="0"/>
        <w:spacing w:after="120"/>
        <w:rPr>
          <w:rFonts w:ascii="Verdana" w:eastAsia="Arial" w:hAnsi="Verdana"/>
          <w:lang w:eastAsia="en-US"/>
        </w:rPr>
      </w:pPr>
      <w:r w:rsidRPr="008B3758">
        <w:rPr>
          <w:rFonts w:ascii="Verdana" w:eastAsia="Arial" w:hAnsi="Verdana"/>
          <w:lang w:eastAsia="en-US"/>
        </w:rPr>
        <w:t>Criterios de inclusión</w:t>
      </w:r>
    </w:p>
    <w:p w:rsidR="00C72DBD" w:rsidRPr="00DD7389" w:rsidRDefault="00C72DBD" w:rsidP="00292E6C">
      <w:pPr>
        <w:widowControl w:val="0"/>
        <w:numPr>
          <w:ilvl w:val="0"/>
          <w:numId w:val="17"/>
        </w:numPr>
        <w:autoSpaceDE w:val="0"/>
        <w:autoSpaceDN w:val="0"/>
        <w:spacing w:after="120"/>
        <w:jc w:val="both"/>
        <w:rPr>
          <w:rFonts w:ascii="Verdana" w:eastAsia="Arial" w:hAnsi="Verdana"/>
          <w:lang w:eastAsia="en-US"/>
        </w:rPr>
      </w:pPr>
      <w:r w:rsidRPr="00DD7389">
        <w:rPr>
          <w:rFonts w:ascii="Verdana" w:eastAsia="Arial" w:hAnsi="Verdana"/>
          <w:lang w:eastAsia="en-US"/>
        </w:rPr>
        <w:t>Estudiantes que se encuentran en la etapa preoperacional comprendida entre 2 a 7 años, donde se forman los primeros esquemas mentales de la estructura cognitiva, que serán la base para alcanzar las habilidades necesarias para desenvolverse en la vida cotidiana.</w:t>
      </w:r>
    </w:p>
    <w:p w:rsidR="00C72DBD" w:rsidRPr="00DD7389" w:rsidRDefault="00C72DBD" w:rsidP="00292E6C">
      <w:pPr>
        <w:widowControl w:val="0"/>
        <w:numPr>
          <w:ilvl w:val="0"/>
          <w:numId w:val="17"/>
        </w:numPr>
        <w:autoSpaceDE w:val="0"/>
        <w:autoSpaceDN w:val="0"/>
        <w:spacing w:after="120"/>
        <w:jc w:val="both"/>
        <w:rPr>
          <w:rFonts w:ascii="Verdana" w:eastAsia="Arial" w:hAnsi="Verdana"/>
          <w:lang w:eastAsia="en-US"/>
        </w:rPr>
      </w:pPr>
      <w:r w:rsidRPr="00DD7389">
        <w:rPr>
          <w:rFonts w:ascii="Verdana" w:eastAsia="Arial" w:hAnsi="Verdana"/>
          <w:lang w:eastAsia="en-US"/>
        </w:rPr>
        <w:lastRenderedPageBreak/>
        <w:t>Estudiantes del subnivel preparatoria, que al ser el primer nivel de escolaridad obligatoria juega un papel importante para la estimulación temprana de las habilidades del pensamiento, de acuerdo a las destrezas planteadas por el currículo educativo que servirá de base para los siguientes subniveles de Educación Básica.</w:t>
      </w:r>
    </w:p>
    <w:p w:rsidR="00C72DBD" w:rsidRPr="00DD7389" w:rsidRDefault="00C72DBD" w:rsidP="00292E6C">
      <w:pPr>
        <w:widowControl w:val="0"/>
        <w:numPr>
          <w:ilvl w:val="0"/>
          <w:numId w:val="17"/>
        </w:numPr>
        <w:autoSpaceDE w:val="0"/>
        <w:autoSpaceDN w:val="0"/>
        <w:spacing w:after="120"/>
        <w:jc w:val="both"/>
        <w:rPr>
          <w:rFonts w:ascii="Verdana" w:eastAsia="Arial" w:hAnsi="Verdana"/>
          <w:lang w:eastAsia="en-US"/>
        </w:rPr>
      </w:pPr>
      <w:r w:rsidRPr="00DD7389">
        <w:rPr>
          <w:rFonts w:ascii="Verdana" w:eastAsia="Arial" w:hAnsi="Verdana"/>
          <w:lang w:eastAsia="en-US"/>
        </w:rPr>
        <w:t>Estudiantes que presenta mayor dificultad histórica en el desarrollo cognitivo.</w:t>
      </w:r>
    </w:p>
    <w:p w:rsidR="00C72DBD" w:rsidRPr="008B3758" w:rsidRDefault="00C72DBD" w:rsidP="00292E6C">
      <w:pPr>
        <w:widowControl w:val="0"/>
        <w:autoSpaceDE w:val="0"/>
        <w:autoSpaceDN w:val="0"/>
        <w:spacing w:after="120"/>
        <w:rPr>
          <w:rFonts w:ascii="Verdana" w:eastAsia="Arial" w:hAnsi="Verdana"/>
          <w:lang w:eastAsia="en-US"/>
        </w:rPr>
      </w:pPr>
      <w:r w:rsidRPr="008B3758">
        <w:rPr>
          <w:rFonts w:ascii="Verdana" w:eastAsia="Arial" w:hAnsi="Verdana"/>
          <w:lang w:eastAsia="en-US"/>
        </w:rPr>
        <w:t>Criterios de exclusión</w:t>
      </w:r>
    </w:p>
    <w:p w:rsidR="00C72DBD" w:rsidRPr="00DD7389" w:rsidRDefault="00C72DBD" w:rsidP="00292E6C">
      <w:pPr>
        <w:widowControl w:val="0"/>
        <w:numPr>
          <w:ilvl w:val="0"/>
          <w:numId w:val="18"/>
        </w:numPr>
        <w:autoSpaceDE w:val="0"/>
        <w:autoSpaceDN w:val="0"/>
        <w:adjustRightInd w:val="0"/>
        <w:spacing w:after="120"/>
        <w:ind w:left="714" w:hanging="357"/>
        <w:jc w:val="both"/>
        <w:rPr>
          <w:rFonts w:ascii="Verdana" w:eastAsia="Arial" w:hAnsi="Verdana"/>
          <w:lang w:eastAsia="en-US"/>
        </w:rPr>
      </w:pPr>
      <w:r w:rsidRPr="00DD7389">
        <w:rPr>
          <w:rFonts w:ascii="Verdana" w:eastAsia="Arial" w:hAnsi="Verdana"/>
          <w:lang w:eastAsia="en-US"/>
        </w:rPr>
        <w:t>Estudiantes que no pertenecen a la etapa preoperacional.</w:t>
      </w:r>
    </w:p>
    <w:p w:rsidR="00C72DBD" w:rsidRPr="00DD7389" w:rsidRDefault="00C72DBD" w:rsidP="00292E6C">
      <w:pPr>
        <w:widowControl w:val="0"/>
        <w:numPr>
          <w:ilvl w:val="0"/>
          <w:numId w:val="18"/>
        </w:numPr>
        <w:autoSpaceDE w:val="0"/>
        <w:autoSpaceDN w:val="0"/>
        <w:adjustRightInd w:val="0"/>
        <w:spacing w:after="120"/>
        <w:ind w:left="714" w:hanging="357"/>
        <w:jc w:val="both"/>
        <w:rPr>
          <w:rFonts w:ascii="Verdana" w:eastAsia="Arial" w:hAnsi="Verdana"/>
          <w:lang w:eastAsia="en-US"/>
        </w:rPr>
      </w:pPr>
      <w:r w:rsidRPr="00DD7389">
        <w:rPr>
          <w:rFonts w:ascii="Verdana" w:eastAsia="Arial" w:hAnsi="Verdana"/>
          <w:lang w:eastAsia="en-US"/>
        </w:rPr>
        <w:t>Estudiantes que no pertenecen al Subnivel de Preparatoria.</w:t>
      </w:r>
    </w:p>
    <w:p w:rsidR="00C72DBD" w:rsidRPr="00DD7389" w:rsidRDefault="00C72DBD" w:rsidP="00292E6C">
      <w:pPr>
        <w:widowControl w:val="0"/>
        <w:numPr>
          <w:ilvl w:val="0"/>
          <w:numId w:val="18"/>
        </w:numPr>
        <w:autoSpaceDE w:val="0"/>
        <w:autoSpaceDN w:val="0"/>
        <w:adjustRightInd w:val="0"/>
        <w:spacing w:after="120"/>
        <w:ind w:left="714" w:hanging="357"/>
        <w:jc w:val="both"/>
        <w:rPr>
          <w:rFonts w:ascii="Verdana" w:eastAsia="Arial" w:hAnsi="Verdana"/>
          <w:lang w:eastAsia="en-US"/>
        </w:rPr>
      </w:pPr>
      <w:r w:rsidRPr="00DD7389">
        <w:rPr>
          <w:rFonts w:ascii="Verdana" w:eastAsia="Arial" w:hAnsi="Verdana"/>
          <w:lang w:eastAsia="en-US"/>
        </w:rPr>
        <w:t>Estudiantes que no han presentado mayor dificultad histórica en el desarrollo cognitivo.</w:t>
      </w:r>
    </w:p>
    <w:p w:rsidR="00C72DBD" w:rsidRPr="00DD7389" w:rsidRDefault="00C72DBD" w:rsidP="00292E6C">
      <w:pPr>
        <w:spacing w:after="120"/>
        <w:ind w:left="14" w:right="4" w:hanging="10"/>
        <w:jc w:val="both"/>
        <w:rPr>
          <w:rFonts w:ascii="Verdana" w:hAnsi="Verdana"/>
          <w:color w:val="000000"/>
        </w:rPr>
      </w:pPr>
      <w:r w:rsidRPr="008B3758">
        <w:rPr>
          <w:rFonts w:ascii="Verdana" w:hAnsi="Verdana"/>
          <w:color w:val="000000"/>
        </w:rPr>
        <w:t>Plan de pr</w:t>
      </w:r>
      <w:r w:rsidR="009748C0">
        <w:rPr>
          <w:rFonts w:ascii="Verdana" w:hAnsi="Verdana"/>
          <w:color w:val="000000"/>
        </w:rPr>
        <w:t>ocesamiento y análisis de datos</w:t>
      </w:r>
    </w:p>
    <w:p w:rsidR="00C72DBD" w:rsidRPr="00DD7389" w:rsidRDefault="00C72DBD" w:rsidP="00292E6C">
      <w:pPr>
        <w:spacing w:after="120"/>
        <w:ind w:left="11" w:right="153"/>
        <w:jc w:val="both"/>
        <w:rPr>
          <w:rFonts w:ascii="Verdana" w:hAnsi="Verdana"/>
          <w:color w:val="000000"/>
        </w:rPr>
      </w:pPr>
      <w:r w:rsidRPr="00DD7389">
        <w:rPr>
          <w:rFonts w:ascii="Verdana" w:hAnsi="Verdana"/>
          <w:color w:val="000000"/>
        </w:rPr>
        <w:t>Para el análisis de datos se aplicó la estadística descriptiva realizándose los cálculos de la frecuencia</w:t>
      </w:r>
      <w:r w:rsidR="008A194E">
        <w:rPr>
          <w:rFonts w:ascii="Verdana" w:hAnsi="Verdana"/>
          <w:color w:val="000000"/>
        </w:rPr>
        <w:t xml:space="preserve"> y porcentajes por medio del programa </w:t>
      </w:r>
      <w:proofErr w:type="spellStart"/>
      <w:r w:rsidR="008A194E">
        <w:rPr>
          <w:rFonts w:ascii="Verdana" w:hAnsi="Verdana"/>
          <w:color w:val="000000"/>
        </w:rPr>
        <w:t>Excel.</w:t>
      </w:r>
      <w:r w:rsidRPr="00DD7389">
        <w:rPr>
          <w:rFonts w:ascii="Verdana" w:hAnsi="Verdana"/>
          <w:color w:val="000000"/>
        </w:rPr>
        <w:t>Se</w:t>
      </w:r>
      <w:proofErr w:type="spellEnd"/>
      <w:r w:rsidRPr="00DD7389">
        <w:rPr>
          <w:rFonts w:ascii="Verdana" w:hAnsi="Verdana"/>
          <w:color w:val="000000"/>
        </w:rPr>
        <w:t xml:space="preserve"> elaboraron gráficos de barras de acuerdo a los resultados obtenidos y se analizaron e interpretaron los datos an</w:t>
      </w:r>
      <w:r w:rsidR="00250EA5">
        <w:rPr>
          <w:rFonts w:ascii="Verdana" w:hAnsi="Verdana"/>
          <w:color w:val="000000"/>
        </w:rPr>
        <w:t xml:space="preserve">alizados aportando conclusiones </w:t>
      </w:r>
      <w:r w:rsidRPr="00DD7389">
        <w:rPr>
          <w:rFonts w:ascii="Verdana" w:hAnsi="Verdana"/>
          <w:color w:val="000000"/>
        </w:rPr>
        <w:t>y</w:t>
      </w:r>
      <w:r w:rsidR="00250EA5">
        <w:rPr>
          <w:rFonts w:ascii="Verdana" w:hAnsi="Verdana"/>
          <w:color w:val="000000"/>
        </w:rPr>
        <w:t xml:space="preserve"> </w:t>
      </w:r>
      <w:r w:rsidRPr="00DD7389">
        <w:rPr>
          <w:rFonts w:ascii="Verdana" w:hAnsi="Verdana"/>
          <w:color w:val="000000"/>
        </w:rPr>
        <w:t xml:space="preserve">sugerencias en relación con los resultados obtenidos en la prueba.  </w:t>
      </w:r>
    </w:p>
    <w:p w:rsidR="00C72DBD" w:rsidRPr="008B3758" w:rsidRDefault="00C72DBD" w:rsidP="00292E6C">
      <w:pPr>
        <w:spacing w:after="120"/>
        <w:ind w:left="14" w:right="4" w:hanging="10"/>
        <w:jc w:val="both"/>
        <w:rPr>
          <w:rFonts w:ascii="Verdana" w:hAnsi="Verdana"/>
          <w:color w:val="000000"/>
          <w:lang w:eastAsia="en-US"/>
        </w:rPr>
      </w:pPr>
      <w:r w:rsidRPr="008B3758">
        <w:rPr>
          <w:rFonts w:ascii="Verdana" w:hAnsi="Verdana"/>
          <w:color w:val="000000"/>
          <w:lang w:eastAsia="en-US"/>
        </w:rPr>
        <w:t>Resultados del Nivel de Desarrollo cognitivo según la dimensión discriminación perceptiva.</w:t>
      </w:r>
    </w:p>
    <w:p w:rsidR="00E248C7" w:rsidRPr="00DD7389" w:rsidRDefault="00C72DBD" w:rsidP="00123C45">
      <w:pPr>
        <w:spacing w:after="120"/>
        <w:ind w:left="11" w:right="51"/>
        <w:jc w:val="both"/>
        <w:rPr>
          <w:rFonts w:ascii="Verdana" w:hAnsi="Verdana"/>
          <w:color w:val="000000"/>
          <w:lang w:eastAsia="en-US"/>
        </w:rPr>
      </w:pPr>
      <w:r w:rsidRPr="00DD7389">
        <w:rPr>
          <w:rFonts w:ascii="Verdana" w:hAnsi="Verdana"/>
          <w:color w:val="000000"/>
          <w:lang w:eastAsia="en-US"/>
        </w:rPr>
        <w:t>De acuerdo a los resultados obtenidos e</w:t>
      </w:r>
      <w:r w:rsidR="00E4122E" w:rsidRPr="00DD7389">
        <w:rPr>
          <w:rFonts w:ascii="Verdana" w:hAnsi="Verdana"/>
          <w:color w:val="000000"/>
          <w:lang w:eastAsia="en-US"/>
        </w:rPr>
        <w:t>n la tabla 1</w:t>
      </w:r>
      <w:r w:rsidRPr="00DD7389">
        <w:rPr>
          <w:rFonts w:ascii="Verdana" w:hAnsi="Verdana"/>
          <w:color w:val="000000"/>
          <w:lang w:eastAsia="en-US"/>
        </w:rPr>
        <w:t xml:space="preserve">, se detalla que el 0 % de los niños tienen puntos fuertes del área cognitiva según la dimensión discriminación perceptiva, mientras que el 33% de los niños están en el nivel normal, demostrando satisfactoriamente la interacción activa a través de sus sentidos con su entorno inmediato, reconociendo </w:t>
      </w:r>
      <w:r w:rsidR="00F95DE2" w:rsidRPr="00DD7389">
        <w:rPr>
          <w:rFonts w:ascii="Verdana" w:hAnsi="Verdana"/>
          <w:color w:val="000000"/>
          <w:lang w:eastAsia="en-US"/>
        </w:rPr>
        <w:t>las características</w:t>
      </w:r>
      <w:r w:rsidRPr="00DD7389">
        <w:rPr>
          <w:rFonts w:ascii="Verdana" w:hAnsi="Verdana"/>
          <w:color w:val="000000"/>
          <w:lang w:eastAsia="en-US"/>
        </w:rPr>
        <w:t xml:space="preserve"> de los objetos, posteriormente el 67% de los niños se encuentra en un nivel puntos débil</w:t>
      </w:r>
      <w:r w:rsidR="00F95DE2">
        <w:rPr>
          <w:rFonts w:ascii="Verdana" w:hAnsi="Verdana"/>
          <w:color w:val="000000"/>
          <w:lang w:eastAsia="en-US"/>
        </w:rPr>
        <w:t>es de acuerdo a lo evaluado</w:t>
      </w:r>
      <w:r w:rsidR="00E248C7" w:rsidRPr="00DD7389">
        <w:rPr>
          <w:rFonts w:ascii="Verdana" w:hAnsi="Verdana"/>
          <w:color w:val="000000"/>
          <w:lang w:eastAsia="en-US"/>
        </w:rPr>
        <w:t>.</w:t>
      </w:r>
    </w:p>
    <w:p w:rsidR="00753C26" w:rsidRDefault="00753C26" w:rsidP="00292E6C">
      <w:pPr>
        <w:spacing w:after="120"/>
        <w:ind w:left="11" w:right="51"/>
        <w:jc w:val="both"/>
        <w:rPr>
          <w:rFonts w:ascii="Verdana" w:hAnsi="Verdana"/>
          <w:color w:val="000000"/>
          <w:lang w:eastAsia="en-US"/>
        </w:rPr>
      </w:pPr>
      <w:r>
        <w:rPr>
          <w:noProof/>
          <w:lang w:val="en-US" w:eastAsia="en-US"/>
        </w:rPr>
        <w:drawing>
          <wp:inline distT="0" distB="0" distL="0" distR="0">
            <wp:extent cx="6012162" cy="1579880"/>
            <wp:effectExtent l="0" t="0" r="8255"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026479" cy="1583642"/>
                    </a:xfrm>
                    <a:prstGeom prst="rect">
                      <a:avLst/>
                    </a:prstGeom>
                  </pic:spPr>
                </pic:pic>
              </a:graphicData>
            </a:graphic>
          </wp:inline>
        </w:drawing>
      </w:r>
    </w:p>
    <w:p w:rsidR="00C72DBD" w:rsidRDefault="00C72DBD" w:rsidP="00292E6C">
      <w:pPr>
        <w:spacing w:after="120"/>
        <w:ind w:left="11" w:right="51"/>
        <w:jc w:val="both"/>
        <w:rPr>
          <w:rFonts w:ascii="Verdana" w:hAnsi="Verdana"/>
          <w:color w:val="000000"/>
          <w:lang w:eastAsia="en-US"/>
        </w:rPr>
      </w:pPr>
      <w:r w:rsidRPr="00DD7389">
        <w:rPr>
          <w:rFonts w:ascii="Verdana" w:hAnsi="Verdana"/>
          <w:color w:val="000000"/>
          <w:lang w:eastAsia="en-US"/>
        </w:rPr>
        <w:t xml:space="preserve">Este dato significa que en la dimensión discriminación perceptiva el 0% de los niños evaluados tienen un nivel de puntos fuertes en cuanto a interacción sensoriomotora y discriminación que evalúa esta dimensión. Mientras que el 33% de los niños responde de manera activa a la interacción y discriminación </w:t>
      </w:r>
      <w:r w:rsidRPr="00DD7389">
        <w:rPr>
          <w:rFonts w:ascii="Verdana" w:hAnsi="Verdana"/>
          <w:color w:val="000000"/>
          <w:lang w:eastAsia="en-US"/>
        </w:rPr>
        <w:lastRenderedPageBreak/>
        <w:t>de las características presentes en los objetos de su entorno. En este sentido, habría que realizar estrategias adecuadas que contribuyan a incrementar el número de niños con buena respuesta de interacción y discriminación sensorial.</w:t>
      </w:r>
    </w:p>
    <w:p w:rsidR="005D59DD" w:rsidRDefault="005D59DD" w:rsidP="00292E6C">
      <w:pPr>
        <w:spacing w:after="120"/>
        <w:ind w:left="11" w:right="51"/>
        <w:jc w:val="both"/>
        <w:rPr>
          <w:rFonts w:ascii="Verdana" w:hAnsi="Verdana"/>
          <w:color w:val="000000"/>
          <w:lang w:eastAsia="en-US"/>
        </w:rPr>
      </w:pPr>
    </w:p>
    <w:p w:rsidR="004F7120" w:rsidRPr="008B3758" w:rsidRDefault="005D59DD" w:rsidP="00A235BF">
      <w:pPr>
        <w:spacing w:after="120"/>
        <w:ind w:left="11" w:right="51"/>
        <w:jc w:val="both"/>
        <w:rPr>
          <w:rFonts w:ascii="Verdana" w:hAnsi="Verdana"/>
          <w:color w:val="000000"/>
          <w:lang w:eastAsia="en-US"/>
        </w:rPr>
      </w:pPr>
      <w:r>
        <w:rPr>
          <w:noProof/>
          <w:lang w:val="en-US" w:eastAsia="en-US"/>
        </w:rPr>
        <w:drawing>
          <wp:inline distT="0" distB="0" distL="0" distR="0" wp14:anchorId="5292FC7C" wp14:editId="6BECFEC8">
            <wp:extent cx="5972810" cy="1521797"/>
            <wp:effectExtent l="0" t="0" r="0" b="254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72810" cy="1521797"/>
                    </a:xfrm>
                    <a:prstGeom prst="rect">
                      <a:avLst/>
                    </a:prstGeom>
                  </pic:spPr>
                </pic:pic>
              </a:graphicData>
            </a:graphic>
          </wp:inline>
        </w:drawing>
      </w:r>
    </w:p>
    <w:p w:rsidR="008B3758" w:rsidRPr="008B3758" w:rsidRDefault="00C72DBD" w:rsidP="00292E6C">
      <w:pPr>
        <w:spacing w:after="120"/>
        <w:ind w:left="6" w:right="6"/>
        <w:jc w:val="both"/>
        <w:rPr>
          <w:rFonts w:ascii="Verdana" w:hAnsi="Verdana"/>
        </w:rPr>
      </w:pPr>
      <w:r w:rsidRPr="00DD7389">
        <w:rPr>
          <w:rFonts w:ascii="Verdana" w:hAnsi="Verdana"/>
          <w:color w:val="000000"/>
          <w:lang w:eastAsia="en-US"/>
        </w:rPr>
        <w:t xml:space="preserve">Los resultados encontrados de acuerdo al nivel de desarrollo en la dimensión </w:t>
      </w:r>
      <w:r w:rsidR="008B3758">
        <w:rPr>
          <w:rFonts w:ascii="Verdana" w:hAnsi="Verdana"/>
          <w:color w:val="000000"/>
          <w:lang w:eastAsia="en-US"/>
        </w:rPr>
        <w:t>memoria</w:t>
      </w:r>
      <w:r w:rsidRPr="00DD7389">
        <w:rPr>
          <w:rFonts w:ascii="Verdana" w:hAnsi="Verdana"/>
          <w:color w:val="000000"/>
          <w:lang w:eastAsia="en-US"/>
        </w:rPr>
        <w:t>, el 0% de los niños no presentan puntos fuertes, mientras un 21%, representa puntos normales, en contraste y con mayor porcentaje un 79% de los niños evidencia puntos débiles.  Estos hallazgos porcentual evidencia que ninguno de los niños presenta puntos fuertes de acuerdo a los indicadores de atención, percepción y recuperación de información. Esto permite inferir, que más de la mitad de los niños amerita de reforzamiento para la consolidación de su desarrollo cognitivo en tanto a las habilidades de memoria. Lo que significa que se hace necesaria la aplicación de estrategias didácticas para mejorar el nivel de desarrollo cognitivo de los niños con respecto a la atención, percepción y recuperación de información.</w:t>
      </w:r>
    </w:p>
    <w:p w:rsidR="00C72DBD" w:rsidRPr="008B3758" w:rsidRDefault="00C72DBD" w:rsidP="00292E6C">
      <w:pPr>
        <w:spacing w:after="120"/>
        <w:ind w:left="14" w:right="4" w:hanging="10"/>
        <w:jc w:val="both"/>
        <w:rPr>
          <w:rFonts w:ascii="Verdana" w:hAnsi="Verdana"/>
          <w:color w:val="000000"/>
          <w:lang w:eastAsia="en-US"/>
        </w:rPr>
      </w:pPr>
      <w:r w:rsidRPr="008B3758">
        <w:rPr>
          <w:rFonts w:ascii="Verdana" w:hAnsi="Verdana"/>
          <w:color w:val="000000"/>
          <w:lang w:eastAsia="en-US"/>
        </w:rPr>
        <w:t>Resultados según la dimensión razonamiento y habilidades escolares</w:t>
      </w:r>
    </w:p>
    <w:p w:rsidR="00C72DBD" w:rsidRPr="00DD7389" w:rsidRDefault="00C72DBD" w:rsidP="00292E6C">
      <w:pPr>
        <w:spacing w:after="120"/>
        <w:ind w:left="6" w:right="6"/>
        <w:jc w:val="both"/>
        <w:rPr>
          <w:rFonts w:ascii="Verdana" w:hAnsi="Verdana"/>
          <w:bCs/>
          <w:color w:val="000000"/>
          <w:lang w:eastAsia="en-US"/>
        </w:rPr>
      </w:pPr>
      <w:r w:rsidRPr="00DE16C6">
        <w:rPr>
          <w:rFonts w:ascii="Verdana" w:hAnsi="Verdana"/>
          <w:bCs/>
          <w:color w:val="000000"/>
          <w:lang w:eastAsia="en-US"/>
        </w:rPr>
        <w:t>Los ha</w:t>
      </w:r>
      <w:r w:rsidR="00B126F6" w:rsidRPr="00DE16C6">
        <w:rPr>
          <w:rFonts w:ascii="Verdana" w:hAnsi="Verdana"/>
          <w:bCs/>
          <w:color w:val="000000"/>
          <w:lang w:eastAsia="en-US"/>
        </w:rPr>
        <w:t xml:space="preserve">llazgos expresados en la </w:t>
      </w:r>
      <w:r w:rsidR="00DE16C6" w:rsidRPr="00DE16C6">
        <w:rPr>
          <w:rFonts w:ascii="Verdana" w:hAnsi="Verdana"/>
          <w:bCs/>
          <w:color w:val="000000"/>
          <w:lang w:eastAsia="en-US"/>
        </w:rPr>
        <w:t>tabla 3</w:t>
      </w:r>
      <w:r w:rsidRPr="00DE16C6">
        <w:rPr>
          <w:rFonts w:ascii="Verdana" w:hAnsi="Verdana"/>
          <w:bCs/>
          <w:color w:val="000000"/>
          <w:lang w:eastAsia="en-US"/>
        </w:rPr>
        <w:t>, evidencian que un 8% de los niños presentan puntos fuertes, un 21% un puntaje normal y un 71% puntos débiles. De acuerdo al comportamiento porcentual observable, 8% de los niños presentan puntos fuertes en tanto la manifestación de un pensamiento crítico, las funciones ejecutivas, habilidades escolares esenciales como la lectura y escritura y las matemáticas. Aun cuando constituye la minoría de los niños de la muestra, es un dato relevante a fin de la medición de desarrollo cognitivo de los mismo</w:t>
      </w:r>
      <w:r w:rsidR="00250EA5" w:rsidRPr="00DE16C6">
        <w:rPr>
          <w:rFonts w:ascii="Verdana" w:hAnsi="Verdana"/>
          <w:bCs/>
          <w:color w:val="000000"/>
          <w:lang w:eastAsia="en-US"/>
        </w:rPr>
        <w:t>s</w:t>
      </w:r>
      <w:r w:rsidRPr="00DE16C6">
        <w:rPr>
          <w:rFonts w:ascii="Verdana" w:hAnsi="Verdana"/>
          <w:bCs/>
          <w:color w:val="000000"/>
          <w:lang w:eastAsia="en-US"/>
        </w:rPr>
        <w:t>.</w:t>
      </w:r>
    </w:p>
    <w:p w:rsidR="00123C45" w:rsidRDefault="00950FEB" w:rsidP="006F51F4">
      <w:pPr>
        <w:spacing w:after="120"/>
        <w:ind w:right="4"/>
        <w:rPr>
          <w:rFonts w:ascii="Verdana" w:hAnsi="Verdana"/>
          <w:i/>
          <w:iCs/>
          <w:color w:val="000000"/>
          <w:lang w:eastAsia="en-US"/>
        </w:rPr>
      </w:pPr>
      <w:r>
        <w:rPr>
          <w:noProof/>
          <w:lang w:val="en-US" w:eastAsia="en-US"/>
        </w:rPr>
        <w:lastRenderedPageBreak/>
        <w:drawing>
          <wp:inline distT="0" distB="0" distL="0" distR="0" wp14:anchorId="531D5A5F" wp14:editId="2820D8C3">
            <wp:extent cx="5972810" cy="1581150"/>
            <wp:effectExtent l="0" t="0" r="889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72810" cy="1581150"/>
                    </a:xfrm>
                    <a:prstGeom prst="rect">
                      <a:avLst/>
                    </a:prstGeom>
                  </pic:spPr>
                </pic:pic>
              </a:graphicData>
            </a:graphic>
          </wp:inline>
        </w:drawing>
      </w:r>
    </w:p>
    <w:p w:rsidR="00C72DBD" w:rsidRPr="00DD7389" w:rsidRDefault="00C72DBD" w:rsidP="00292E6C">
      <w:pPr>
        <w:spacing w:after="120"/>
        <w:ind w:left="6" w:right="6"/>
        <w:jc w:val="both"/>
        <w:rPr>
          <w:rFonts w:ascii="Verdana" w:hAnsi="Verdana"/>
          <w:bCs/>
          <w:color w:val="000000"/>
          <w:lang w:eastAsia="en-US"/>
        </w:rPr>
      </w:pPr>
      <w:r w:rsidRPr="00DD7389">
        <w:rPr>
          <w:rFonts w:ascii="Verdana" w:hAnsi="Verdana"/>
          <w:bCs/>
          <w:color w:val="000000"/>
          <w:lang w:eastAsia="en-US"/>
        </w:rPr>
        <w:t xml:space="preserve">Con respecto al 21% de los estudiantes de la muestra, presenta </w:t>
      </w:r>
      <w:r w:rsidR="00721656">
        <w:rPr>
          <w:rFonts w:ascii="Verdana" w:hAnsi="Verdana"/>
          <w:bCs/>
          <w:color w:val="000000"/>
          <w:lang w:eastAsia="en-US"/>
        </w:rPr>
        <w:t>puntaje normal, aspecto que per</w:t>
      </w:r>
      <w:r w:rsidRPr="00DD7389">
        <w:rPr>
          <w:rFonts w:ascii="Verdana" w:hAnsi="Verdana"/>
          <w:bCs/>
          <w:color w:val="000000"/>
          <w:lang w:eastAsia="en-US"/>
        </w:rPr>
        <w:t xml:space="preserve">mite deducir que se encuentra en una etapa de proceso para la consolidación del desarrollo cognitivo con relación a los indicadores señalados anteriormente. No obstante, un 71% de los estudiantes de la muestra se encuentra en un puntaje débil, es decir, que ameritan mayor atención pedagógica, lo que permite inferir que la mayoría de los niños requieren de estrategias didácticas que favorezcan el desarrollo de las habilidades cognitivas de acuerdo a la dimensión señalada. </w:t>
      </w:r>
    </w:p>
    <w:p w:rsidR="00C72DBD" w:rsidRPr="00DE16C6" w:rsidRDefault="00C72DBD" w:rsidP="00292E6C">
      <w:pPr>
        <w:spacing w:after="120"/>
        <w:ind w:left="14" w:right="4" w:hanging="10"/>
        <w:jc w:val="both"/>
        <w:rPr>
          <w:rFonts w:ascii="Verdana" w:hAnsi="Verdana"/>
          <w:color w:val="000000"/>
          <w:lang w:eastAsia="en-US"/>
        </w:rPr>
      </w:pPr>
      <w:r w:rsidRPr="00DE16C6">
        <w:rPr>
          <w:rFonts w:ascii="Verdana" w:hAnsi="Verdana"/>
          <w:color w:val="000000"/>
          <w:lang w:eastAsia="en-US"/>
        </w:rPr>
        <w:t>Resultados del Nivel de Desarrollo cognitivo según la dimensión desarrollo conceptual</w:t>
      </w:r>
    </w:p>
    <w:p w:rsidR="00753C26" w:rsidRDefault="00C72DBD" w:rsidP="00292E6C">
      <w:pPr>
        <w:spacing w:after="120"/>
        <w:ind w:left="11" w:right="51"/>
        <w:jc w:val="both"/>
        <w:rPr>
          <w:rFonts w:ascii="Verdana" w:hAnsi="Verdana"/>
          <w:color w:val="000000"/>
          <w:lang w:eastAsia="en-US"/>
        </w:rPr>
      </w:pPr>
      <w:r w:rsidRPr="00DE16C6">
        <w:rPr>
          <w:rFonts w:ascii="Verdana" w:hAnsi="Verdana"/>
          <w:color w:val="000000"/>
          <w:lang w:eastAsia="en-US"/>
        </w:rPr>
        <w:t>Para el caso de la dimensión desarrollo conceptua</w:t>
      </w:r>
      <w:r w:rsidR="00B126F6" w:rsidRPr="00DE16C6">
        <w:rPr>
          <w:rFonts w:ascii="Verdana" w:hAnsi="Verdana"/>
          <w:color w:val="000000"/>
          <w:lang w:eastAsia="en-US"/>
        </w:rPr>
        <w:t xml:space="preserve">l, los resultados de la </w:t>
      </w:r>
      <w:r w:rsidR="00DE16C6" w:rsidRPr="00DE16C6">
        <w:rPr>
          <w:rFonts w:ascii="Verdana" w:hAnsi="Verdana"/>
          <w:color w:val="000000"/>
          <w:lang w:eastAsia="en-US"/>
        </w:rPr>
        <w:t>tabla 4</w:t>
      </w:r>
      <w:r w:rsidRPr="00DE16C6">
        <w:rPr>
          <w:rFonts w:ascii="Verdana" w:hAnsi="Verdana"/>
          <w:color w:val="000000"/>
          <w:lang w:eastAsia="en-US"/>
        </w:rPr>
        <w:t>, reflejaron que un 17% de los niños, es decir 4 niños, obtuvieron puntajes fuertes, mientras un 29% es decir,7 niños arrojaron puntajes normales y un 54% es decir, 13 niños, puntajes débiles. Los hallazgos evidencian que 17%</w:t>
      </w:r>
      <w:r w:rsidRPr="00DD7389">
        <w:rPr>
          <w:rFonts w:ascii="Verdana" w:hAnsi="Verdana"/>
          <w:color w:val="000000"/>
          <w:lang w:eastAsia="en-US"/>
        </w:rPr>
        <w:t xml:space="preserve"> de lo</w:t>
      </w:r>
      <w:r w:rsidR="00A734DA">
        <w:rPr>
          <w:rFonts w:ascii="Verdana" w:hAnsi="Verdana"/>
          <w:color w:val="000000"/>
          <w:lang w:eastAsia="en-US"/>
        </w:rPr>
        <w:t>s</w:t>
      </w:r>
      <w:r w:rsidRPr="00DD7389">
        <w:rPr>
          <w:rFonts w:ascii="Verdana" w:hAnsi="Verdana"/>
          <w:color w:val="000000"/>
          <w:lang w:eastAsia="en-US"/>
        </w:rPr>
        <w:t xml:space="preserve"> niños manifiestan claramente habilidades cognitivas de percepción de nociones, construcción de relaciones, manipulación de objetos de acuerdos a sus características. Una muestra representativa en comparación con las anteriores dimensiones.</w:t>
      </w:r>
    </w:p>
    <w:p w:rsidR="00C72DBD" w:rsidRPr="00DD7389" w:rsidRDefault="00C72DBD" w:rsidP="00292E6C">
      <w:pPr>
        <w:spacing w:after="120"/>
        <w:ind w:left="11" w:right="51"/>
        <w:jc w:val="both"/>
        <w:rPr>
          <w:rFonts w:ascii="Verdana" w:hAnsi="Verdana"/>
          <w:color w:val="000000"/>
          <w:lang w:eastAsia="en-US"/>
        </w:rPr>
      </w:pPr>
      <w:r w:rsidRPr="00DD7389">
        <w:rPr>
          <w:rFonts w:ascii="Verdana" w:hAnsi="Verdana"/>
          <w:color w:val="000000"/>
          <w:lang w:eastAsia="en-US"/>
        </w:rPr>
        <w:t xml:space="preserve"> </w:t>
      </w:r>
      <w:r w:rsidR="00753C26">
        <w:rPr>
          <w:noProof/>
          <w:lang w:val="en-US" w:eastAsia="en-US"/>
        </w:rPr>
        <w:drawing>
          <wp:inline distT="0" distB="0" distL="0" distR="0" wp14:anchorId="77CA8C0B" wp14:editId="306B886B">
            <wp:extent cx="6079854" cy="1580400"/>
            <wp:effectExtent l="0" t="0" r="0" b="127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6079854" cy="1580400"/>
                    </a:xfrm>
                    <a:prstGeom prst="rect">
                      <a:avLst/>
                    </a:prstGeom>
                  </pic:spPr>
                </pic:pic>
              </a:graphicData>
            </a:graphic>
          </wp:inline>
        </w:drawing>
      </w:r>
    </w:p>
    <w:p w:rsidR="00C72DBD" w:rsidRPr="00DD7389" w:rsidRDefault="00C72DBD" w:rsidP="00753C26">
      <w:pPr>
        <w:tabs>
          <w:tab w:val="left" w:pos="6750"/>
        </w:tabs>
        <w:spacing w:after="120"/>
        <w:ind w:left="11" w:right="51"/>
        <w:jc w:val="both"/>
        <w:rPr>
          <w:rFonts w:ascii="Verdana" w:hAnsi="Verdana"/>
          <w:color w:val="000000"/>
          <w:lang w:eastAsia="en-US"/>
        </w:rPr>
      </w:pPr>
      <w:r w:rsidRPr="00DD7389">
        <w:rPr>
          <w:rFonts w:ascii="Verdana" w:hAnsi="Verdana"/>
          <w:color w:val="000000"/>
          <w:lang w:eastAsia="en-US"/>
        </w:rPr>
        <w:t xml:space="preserve">Seguidamente, un 29% con puntajes normales, lo que conduce inferir que han manifestado la mayoría de los indicadores mencionados y un 54% con puntos débiles, constituyen la mayoría de los estudiantes quienes no han desarrollado las habilidades cognitivas en tanto a los indicadores mencionados. Lo que permite inferir que la mayoría de los niños amerita de </w:t>
      </w:r>
      <w:r w:rsidRPr="00DD7389">
        <w:rPr>
          <w:rFonts w:ascii="Verdana" w:hAnsi="Verdana"/>
          <w:color w:val="000000"/>
          <w:lang w:eastAsia="en-US"/>
        </w:rPr>
        <w:lastRenderedPageBreak/>
        <w:t>estrategias didácticas para mejorar el d</w:t>
      </w:r>
      <w:r w:rsidR="00B126F6" w:rsidRPr="00DD7389">
        <w:rPr>
          <w:rFonts w:ascii="Verdana" w:hAnsi="Verdana"/>
          <w:color w:val="000000"/>
          <w:lang w:eastAsia="en-US"/>
        </w:rPr>
        <w:t>esarrollo cognitivo en tanto a</w:t>
      </w:r>
      <w:r w:rsidRPr="00DD7389">
        <w:rPr>
          <w:rFonts w:ascii="Verdana" w:hAnsi="Verdana"/>
          <w:color w:val="000000"/>
          <w:lang w:eastAsia="en-US"/>
        </w:rPr>
        <w:t xml:space="preserve">l desarrollo conceptual. </w:t>
      </w:r>
    </w:p>
    <w:p w:rsidR="00C72DBD" w:rsidRPr="00753C26" w:rsidRDefault="00C72DBD" w:rsidP="00292E6C">
      <w:pPr>
        <w:keepNext/>
        <w:keepLines/>
        <w:widowControl w:val="0"/>
        <w:autoSpaceDE w:val="0"/>
        <w:autoSpaceDN w:val="0"/>
        <w:spacing w:before="40" w:after="120"/>
        <w:outlineLvl w:val="1"/>
        <w:rPr>
          <w:rFonts w:ascii="Verdana" w:hAnsi="Verdana"/>
          <w:lang w:eastAsia="en-US"/>
        </w:rPr>
      </w:pPr>
      <w:bookmarkStart w:id="10" w:name="_Toc94379621"/>
      <w:r w:rsidRPr="00753C26">
        <w:rPr>
          <w:rFonts w:ascii="Verdana" w:hAnsi="Verdana"/>
          <w:lang w:eastAsia="en-US"/>
        </w:rPr>
        <w:t xml:space="preserve">Resultados </w:t>
      </w:r>
      <w:r w:rsidR="00E722E4" w:rsidRPr="00753C26">
        <w:rPr>
          <w:rFonts w:ascii="Verdana" w:hAnsi="Verdana"/>
          <w:lang w:eastAsia="en-US"/>
        </w:rPr>
        <w:t>de</w:t>
      </w:r>
      <w:r w:rsidRPr="00753C26">
        <w:rPr>
          <w:rFonts w:ascii="Verdana" w:hAnsi="Verdana"/>
          <w:lang w:eastAsia="en-US"/>
        </w:rPr>
        <w:t xml:space="preserve"> los directivos</w:t>
      </w:r>
      <w:bookmarkEnd w:id="10"/>
      <w:r w:rsidRPr="00753C26">
        <w:rPr>
          <w:rFonts w:ascii="Verdana" w:hAnsi="Verdana"/>
          <w:lang w:eastAsia="en-US"/>
        </w:rPr>
        <w:t xml:space="preserve"> </w:t>
      </w:r>
    </w:p>
    <w:p w:rsidR="00166949" w:rsidRPr="00DD7389" w:rsidRDefault="00166949" w:rsidP="00292E6C">
      <w:pPr>
        <w:widowControl w:val="0"/>
        <w:autoSpaceDE w:val="0"/>
        <w:autoSpaceDN w:val="0"/>
        <w:spacing w:after="120"/>
        <w:jc w:val="both"/>
        <w:rPr>
          <w:rFonts w:ascii="Verdana" w:eastAsia="Arial" w:hAnsi="Verdana"/>
          <w:lang w:eastAsia="en-US"/>
        </w:rPr>
      </w:pPr>
      <w:r w:rsidRPr="00DE16C6">
        <w:rPr>
          <w:rFonts w:ascii="Verdana" w:eastAsia="Arial" w:hAnsi="Verdana"/>
          <w:lang w:eastAsia="en-US"/>
        </w:rPr>
        <w:t>Desde la perspectiva</w:t>
      </w:r>
      <w:r w:rsidR="00C72DBD" w:rsidRPr="00DE16C6">
        <w:rPr>
          <w:rFonts w:ascii="Verdana" w:eastAsia="Arial" w:hAnsi="Verdana"/>
          <w:lang w:eastAsia="en-US"/>
        </w:rPr>
        <w:t xml:space="preserve"> de los informantes claves, directivos de la Escuela</w:t>
      </w:r>
      <w:r w:rsidR="00C72DBD" w:rsidRPr="00DE16C6">
        <w:rPr>
          <w:rFonts w:ascii="Verdana" w:eastAsia="Arial" w:hAnsi="Verdana"/>
          <w:spacing w:val="-10"/>
          <w:lang w:eastAsia="en-US"/>
        </w:rPr>
        <w:t xml:space="preserve"> </w:t>
      </w:r>
      <w:r w:rsidR="00C72DBD" w:rsidRPr="00DE16C6">
        <w:rPr>
          <w:rFonts w:ascii="Verdana" w:eastAsia="Arial" w:hAnsi="Verdana"/>
          <w:lang w:eastAsia="en-US"/>
        </w:rPr>
        <w:t>de</w:t>
      </w:r>
      <w:r w:rsidR="00C72DBD" w:rsidRPr="00DE16C6">
        <w:rPr>
          <w:rFonts w:ascii="Verdana" w:eastAsia="Arial" w:hAnsi="Verdana"/>
          <w:spacing w:val="-8"/>
          <w:lang w:eastAsia="en-US"/>
        </w:rPr>
        <w:t xml:space="preserve"> </w:t>
      </w:r>
      <w:r w:rsidR="00C72DBD" w:rsidRPr="00DE16C6">
        <w:rPr>
          <w:rFonts w:ascii="Verdana" w:eastAsia="Arial" w:hAnsi="Verdana"/>
          <w:lang w:eastAsia="en-US"/>
        </w:rPr>
        <w:t>Educación</w:t>
      </w:r>
      <w:r w:rsidR="00C72DBD" w:rsidRPr="00DE16C6">
        <w:rPr>
          <w:rFonts w:ascii="Verdana" w:eastAsia="Arial" w:hAnsi="Verdana"/>
          <w:spacing w:val="-6"/>
          <w:lang w:eastAsia="en-US"/>
        </w:rPr>
        <w:t xml:space="preserve"> </w:t>
      </w:r>
      <w:r w:rsidR="00C72DBD" w:rsidRPr="00DE16C6">
        <w:rPr>
          <w:rFonts w:ascii="Verdana" w:eastAsia="Arial" w:hAnsi="Verdana"/>
          <w:lang w:eastAsia="en-US"/>
        </w:rPr>
        <w:t>Básica</w:t>
      </w:r>
      <w:r w:rsidR="00C72DBD" w:rsidRPr="00DE16C6">
        <w:rPr>
          <w:rFonts w:ascii="Verdana" w:eastAsia="Arial" w:hAnsi="Verdana"/>
          <w:spacing w:val="-64"/>
          <w:lang w:eastAsia="en-US"/>
        </w:rPr>
        <w:t xml:space="preserve"> </w:t>
      </w:r>
      <w:r w:rsidR="00C72DBD" w:rsidRPr="00DE16C6">
        <w:rPr>
          <w:rFonts w:ascii="Verdana" w:eastAsia="Arial" w:hAnsi="Verdana"/>
          <w:lang w:eastAsia="en-US"/>
        </w:rPr>
        <w:t xml:space="preserve">“Babahoyo”, </w:t>
      </w:r>
      <w:r w:rsidRPr="00DE16C6">
        <w:rPr>
          <w:rFonts w:ascii="Verdana" w:eastAsia="Arial" w:hAnsi="Verdana"/>
          <w:lang w:eastAsia="en-US"/>
        </w:rPr>
        <w:t xml:space="preserve"> con el objetivo</w:t>
      </w:r>
      <w:r w:rsidR="00C72DBD" w:rsidRPr="00DE16C6">
        <w:rPr>
          <w:rFonts w:ascii="Verdana" w:eastAsia="Arial" w:hAnsi="Verdana"/>
          <w:lang w:eastAsia="en-US"/>
        </w:rPr>
        <w:t xml:space="preserve"> de in</w:t>
      </w:r>
      <w:r w:rsidRPr="00DE16C6">
        <w:rPr>
          <w:rFonts w:ascii="Verdana" w:eastAsia="Arial" w:hAnsi="Verdana"/>
          <w:lang w:eastAsia="en-US"/>
        </w:rPr>
        <w:t>terpretar sus experiencias mediante</w:t>
      </w:r>
      <w:r w:rsidR="00C72DBD" w:rsidRPr="00DE16C6">
        <w:rPr>
          <w:rFonts w:ascii="Verdana" w:eastAsia="Arial" w:hAnsi="Verdana"/>
          <w:lang w:eastAsia="en-US"/>
        </w:rPr>
        <w:t xml:space="preserve"> sus</w:t>
      </w:r>
      <w:r w:rsidRPr="00DE16C6">
        <w:rPr>
          <w:rFonts w:ascii="Verdana" w:eastAsia="Arial" w:hAnsi="Verdana"/>
          <w:lang w:eastAsia="en-US"/>
        </w:rPr>
        <w:t xml:space="preserve"> discursos, se procedió al uso del</w:t>
      </w:r>
      <w:r w:rsidR="00C72DBD" w:rsidRPr="00DE16C6">
        <w:rPr>
          <w:rFonts w:ascii="Verdana" w:eastAsia="Arial" w:hAnsi="Verdana"/>
          <w:lang w:eastAsia="en-US"/>
        </w:rPr>
        <w:t xml:space="preserve"> software </w:t>
      </w:r>
      <w:r w:rsidRPr="00DE16C6">
        <w:rPr>
          <w:rFonts w:ascii="Verdana" w:eastAsia="Arial" w:hAnsi="Verdana"/>
          <w:lang w:eastAsia="en-US"/>
        </w:rPr>
        <w:t>de ATLAS ti 7, para desarrollar un</w:t>
      </w:r>
      <w:r w:rsidR="00C72DBD" w:rsidRPr="00DE16C6">
        <w:rPr>
          <w:rFonts w:ascii="Verdana" w:eastAsia="Arial" w:hAnsi="Verdana"/>
          <w:lang w:eastAsia="en-US"/>
        </w:rPr>
        <w:t xml:space="preserve"> análisi</w:t>
      </w:r>
      <w:r w:rsidRPr="00DE16C6">
        <w:rPr>
          <w:rFonts w:ascii="Verdana" w:eastAsia="Arial" w:hAnsi="Verdana"/>
          <w:lang w:eastAsia="en-US"/>
        </w:rPr>
        <w:t xml:space="preserve">s interpretativo, que permitió </w:t>
      </w:r>
      <w:r w:rsidR="00C72DBD" w:rsidRPr="00DE16C6">
        <w:rPr>
          <w:rFonts w:ascii="Verdana" w:eastAsia="Arial" w:hAnsi="Verdana"/>
          <w:lang w:eastAsia="en-US"/>
        </w:rPr>
        <w:t xml:space="preserve"> la construcción de una red semántica </w:t>
      </w:r>
      <w:r w:rsidR="00DE16C6" w:rsidRPr="00DE16C6">
        <w:rPr>
          <w:rFonts w:ascii="Verdana" w:hAnsi="Verdana"/>
          <w:color w:val="000000"/>
          <w:lang w:eastAsia="en-US"/>
        </w:rPr>
        <w:t>figura 1</w:t>
      </w:r>
      <w:r w:rsidR="00C72DBD" w:rsidRPr="00DE16C6">
        <w:rPr>
          <w:rFonts w:ascii="Verdana" w:hAnsi="Verdana"/>
          <w:color w:val="000000"/>
          <w:lang w:eastAsia="en-US"/>
        </w:rPr>
        <w:t xml:space="preserve">) </w:t>
      </w:r>
      <w:r w:rsidRPr="00DE16C6">
        <w:rPr>
          <w:rFonts w:ascii="Verdana" w:eastAsia="Arial" w:hAnsi="Verdana"/>
          <w:lang w:eastAsia="en-US"/>
        </w:rPr>
        <w:t>con respecto</w:t>
      </w:r>
      <w:r w:rsidR="00C72DBD" w:rsidRPr="00DE16C6">
        <w:rPr>
          <w:rFonts w:ascii="Verdana" w:eastAsia="Arial" w:hAnsi="Verdana"/>
          <w:lang w:eastAsia="en-US"/>
        </w:rPr>
        <w:t>, a las categorías desarrollo cognitivo, estrategia didáctica, recursos y políticas educativas, que permite visualizar la interpretación de los discursos de los informantes.</w:t>
      </w:r>
      <w:r w:rsidR="00C72DBD" w:rsidRPr="00DD7389">
        <w:rPr>
          <w:rFonts w:ascii="Verdana" w:eastAsia="Arial" w:hAnsi="Verdana"/>
          <w:lang w:eastAsia="en-US"/>
        </w:rPr>
        <w:t xml:space="preserve">  </w:t>
      </w:r>
    </w:p>
    <w:p w:rsidR="007D7BA5" w:rsidRPr="007D7BA5" w:rsidRDefault="007D7BA5" w:rsidP="007D7BA5">
      <w:pPr>
        <w:rPr>
          <w:sz w:val="20"/>
          <w:szCs w:val="20"/>
        </w:rPr>
      </w:pPr>
      <w:r>
        <w:rPr>
          <w:noProof/>
          <w:lang w:val="en-US" w:eastAsia="en-US"/>
        </w:rPr>
        <w:drawing>
          <wp:inline distT="0" distB="0" distL="0" distR="0" wp14:anchorId="6AAB217C" wp14:editId="0D044DEF">
            <wp:extent cx="5238750" cy="2703637"/>
            <wp:effectExtent l="0" t="0" r="0" b="190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61727" cy="2715495"/>
                    </a:xfrm>
                    <a:prstGeom prst="rect">
                      <a:avLst/>
                    </a:prstGeom>
                  </pic:spPr>
                </pic:pic>
              </a:graphicData>
            </a:graphic>
          </wp:inline>
        </w:drawing>
      </w:r>
    </w:p>
    <w:p w:rsidR="00C72DBD" w:rsidRPr="00DD7389" w:rsidRDefault="00C72DBD" w:rsidP="00292E6C">
      <w:pPr>
        <w:widowControl w:val="0"/>
        <w:autoSpaceDE w:val="0"/>
        <w:autoSpaceDN w:val="0"/>
        <w:spacing w:after="120"/>
        <w:jc w:val="both"/>
        <w:rPr>
          <w:rFonts w:ascii="Verdana" w:eastAsia="Arial" w:hAnsi="Verdana"/>
          <w:lang w:eastAsia="en-US"/>
        </w:rPr>
      </w:pPr>
      <w:r w:rsidRPr="00DD7389">
        <w:rPr>
          <w:rFonts w:ascii="Verdana" w:eastAsia="Arial" w:hAnsi="Verdana"/>
          <w:lang w:eastAsia="en-US"/>
        </w:rPr>
        <w:t xml:space="preserve">Con relación a la categoría Desarrollo cognitivo, </w:t>
      </w:r>
      <w:r w:rsidR="00F95DE2">
        <w:rPr>
          <w:rFonts w:ascii="Verdana" w:eastAsia="Arial" w:hAnsi="Verdana"/>
          <w:lang w:eastAsia="en-US"/>
        </w:rPr>
        <w:t>de acuerdo a la red establecida se interpreta</w:t>
      </w:r>
      <w:r w:rsidRPr="00DD7389">
        <w:rPr>
          <w:rFonts w:ascii="Verdana" w:eastAsia="Arial" w:hAnsi="Verdana"/>
          <w:lang w:eastAsia="en-US"/>
        </w:rPr>
        <w:t xml:space="preserve"> que el desarrollo cognitivo se puede generar a través de la motivación de los niños y niñas a la interacción con sus pares y con el mundo que les rodea, esto conlleva a una permanente estimulación desde el compartir de vivencias, proporcionándole de nuevas habilidades y destrezas.</w:t>
      </w:r>
    </w:p>
    <w:p w:rsidR="00C72DBD" w:rsidRPr="00DD7389" w:rsidRDefault="00C72DBD" w:rsidP="00292E6C">
      <w:pPr>
        <w:widowControl w:val="0"/>
        <w:autoSpaceDE w:val="0"/>
        <w:autoSpaceDN w:val="0"/>
        <w:spacing w:after="120"/>
        <w:jc w:val="both"/>
        <w:rPr>
          <w:rFonts w:ascii="Verdana" w:eastAsia="Arial" w:hAnsi="Verdana"/>
          <w:lang w:eastAsia="en-US"/>
        </w:rPr>
      </w:pPr>
      <w:r w:rsidRPr="00DD7389">
        <w:rPr>
          <w:rFonts w:ascii="Verdana" w:eastAsia="Arial" w:hAnsi="Verdana"/>
          <w:lang w:eastAsia="en-US"/>
        </w:rPr>
        <w:t>Seguidamente desde la categoría estrategia didáctica, tal como se evidencia en</w:t>
      </w:r>
      <w:r w:rsidR="00F95DE2">
        <w:rPr>
          <w:rFonts w:ascii="Verdana" w:eastAsia="Arial" w:hAnsi="Verdana"/>
          <w:lang w:eastAsia="en-US"/>
        </w:rPr>
        <w:t xml:space="preserve"> la red semántica de la figura </w:t>
      </w:r>
      <w:r w:rsidRPr="00DD7389">
        <w:rPr>
          <w:rFonts w:ascii="Verdana" w:eastAsia="Arial" w:hAnsi="Verdana"/>
          <w:lang w:eastAsia="en-US"/>
        </w:rPr>
        <w:t>1</w:t>
      </w:r>
      <w:r w:rsidR="00F95DE2">
        <w:rPr>
          <w:rFonts w:ascii="Verdana" w:eastAsia="Arial" w:hAnsi="Verdana"/>
          <w:lang w:eastAsia="en-US"/>
        </w:rPr>
        <w:t xml:space="preserve">, </w:t>
      </w:r>
      <w:r w:rsidRPr="00DD7389">
        <w:rPr>
          <w:rFonts w:ascii="Verdana" w:eastAsia="Arial" w:hAnsi="Verdana"/>
          <w:lang w:eastAsia="en-US"/>
        </w:rPr>
        <w:t>se puede reflexionar que existe una conceptualización de la utilidad de la estrategia didáctica para el desarrollo cognitivo, en la cual es necesario, incluir a los padres y representantes, lo que permite ampliar el rango de información de los niños, además de considerar el ambiente de aprendizaje, el método y la técnica, es decir, contar con la didáctica en correspondencia a los pasos necesarios para un buen ejercicio pedagógico en la mejora del desarrollo cognitivo de los niños del contexto de estudio.</w:t>
      </w:r>
    </w:p>
    <w:p w:rsidR="00C72DBD" w:rsidRPr="00DD7389" w:rsidRDefault="00C72DBD" w:rsidP="00292E6C">
      <w:pPr>
        <w:widowControl w:val="0"/>
        <w:autoSpaceDE w:val="0"/>
        <w:autoSpaceDN w:val="0"/>
        <w:spacing w:after="120"/>
        <w:jc w:val="both"/>
        <w:rPr>
          <w:rFonts w:ascii="Verdana" w:eastAsia="Arial" w:hAnsi="Verdana"/>
          <w:lang w:eastAsia="en-US"/>
        </w:rPr>
      </w:pPr>
      <w:r w:rsidRPr="00DD7389">
        <w:rPr>
          <w:rFonts w:ascii="Verdana" w:eastAsia="Arial" w:hAnsi="Verdana"/>
          <w:lang w:eastAsia="en-US"/>
        </w:rPr>
        <w:t xml:space="preserve">Por consiguiente, con la categoría Recursos didácticos, en la red semántica se observa lo planteado </w:t>
      </w:r>
      <w:r w:rsidR="00F95DE2">
        <w:rPr>
          <w:rFonts w:ascii="Verdana" w:eastAsia="Arial" w:hAnsi="Verdana"/>
          <w:lang w:eastAsia="en-US"/>
        </w:rPr>
        <w:t>por los informantes en lo cual lo</w:t>
      </w:r>
      <w:r w:rsidRPr="00DD7389">
        <w:rPr>
          <w:rFonts w:ascii="Verdana" w:eastAsia="Arial" w:hAnsi="Verdana"/>
          <w:lang w:eastAsia="en-US"/>
        </w:rPr>
        <w:t xml:space="preserve">s hallazgos favorecen a una reflexión profunda en tanto a la brecha que genera la ausencia de recursos </w:t>
      </w:r>
      <w:r w:rsidRPr="00DD7389">
        <w:rPr>
          <w:rFonts w:ascii="Verdana" w:eastAsia="Arial" w:hAnsi="Verdana"/>
          <w:lang w:eastAsia="en-US"/>
        </w:rPr>
        <w:lastRenderedPageBreak/>
        <w:t>tecnológicos en el contexto educativo señalado, a pesar de la concepción de utilidad y significancia de las tecnologías, en el proceso de enseñanza aprendizaje y por ende del desarrollo cognitivo de los niños de la Escuela</w:t>
      </w:r>
      <w:r w:rsidRPr="00DD7389">
        <w:rPr>
          <w:rFonts w:ascii="Verdana" w:eastAsia="Arial" w:hAnsi="Verdana"/>
          <w:spacing w:val="-10"/>
          <w:lang w:eastAsia="en-US"/>
        </w:rPr>
        <w:t xml:space="preserve"> </w:t>
      </w:r>
      <w:r w:rsidRPr="00DD7389">
        <w:rPr>
          <w:rFonts w:ascii="Verdana" w:eastAsia="Arial" w:hAnsi="Verdana"/>
          <w:lang w:eastAsia="en-US"/>
        </w:rPr>
        <w:t>de</w:t>
      </w:r>
      <w:r w:rsidRPr="00DD7389">
        <w:rPr>
          <w:rFonts w:ascii="Verdana" w:eastAsia="Arial" w:hAnsi="Verdana"/>
          <w:spacing w:val="-8"/>
          <w:lang w:eastAsia="en-US"/>
        </w:rPr>
        <w:t xml:space="preserve"> </w:t>
      </w:r>
      <w:r w:rsidRPr="00DD7389">
        <w:rPr>
          <w:rFonts w:ascii="Verdana" w:eastAsia="Arial" w:hAnsi="Verdana"/>
          <w:lang w:eastAsia="en-US"/>
        </w:rPr>
        <w:t>Educación</w:t>
      </w:r>
      <w:r w:rsidRPr="00DD7389">
        <w:rPr>
          <w:rFonts w:ascii="Verdana" w:eastAsia="Arial" w:hAnsi="Verdana"/>
          <w:spacing w:val="-6"/>
          <w:lang w:eastAsia="en-US"/>
        </w:rPr>
        <w:t xml:space="preserve"> </w:t>
      </w:r>
      <w:r w:rsidRPr="00DD7389">
        <w:rPr>
          <w:rFonts w:ascii="Verdana" w:eastAsia="Arial" w:hAnsi="Verdana"/>
          <w:lang w:eastAsia="en-US"/>
        </w:rPr>
        <w:t>Básica</w:t>
      </w:r>
      <w:r w:rsidRPr="00DD7389">
        <w:rPr>
          <w:rFonts w:ascii="Verdana" w:eastAsia="Arial" w:hAnsi="Verdana"/>
          <w:spacing w:val="-64"/>
          <w:lang w:eastAsia="en-US"/>
        </w:rPr>
        <w:t xml:space="preserve"> </w:t>
      </w:r>
      <w:r w:rsidRPr="00DD7389">
        <w:rPr>
          <w:rFonts w:ascii="Verdana" w:eastAsia="Arial" w:hAnsi="Verdana"/>
          <w:lang w:eastAsia="en-US"/>
        </w:rPr>
        <w:t>“Babahoyo”. Lo que permite precisar el llamado al ente rector ante la situación descrita.</w:t>
      </w:r>
    </w:p>
    <w:p w:rsidR="00C72DBD" w:rsidRPr="00DD7389" w:rsidRDefault="00C72DBD" w:rsidP="00292E6C">
      <w:pPr>
        <w:widowControl w:val="0"/>
        <w:autoSpaceDE w:val="0"/>
        <w:autoSpaceDN w:val="0"/>
        <w:spacing w:after="120"/>
        <w:jc w:val="both"/>
        <w:rPr>
          <w:rFonts w:ascii="Verdana" w:eastAsia="Arial" w:hAnsi="Verdana"/>
          <w:lang w:eastAsia="en-US"/>
        </w:rPr>
      </w:pPr>
      <w:r w:rsidRPr="00DD7389">
        <w:rPr>
          <w:rFonts w:ascii="Verdana" w:eastAsia="Arial" w:hAnsi="Verdana"/>
          <w:lang w:eastAsia="en-US"/>
        </w:rPr>
        <w:t xml:space="preserve">Con respecto a la categoría políticas de estado, el directivo </w:t>
      </w:r>
      <w:r w:rsidR="00F95DE2">
        <w:rPr>
          <w:rFonts w:ascii="Verdana" w:eastAsia="Arial" w:hAnsi="Verdana"/>
          <w:lang w:eastAsia="en-US"/>
        </w:rPr>
        <w:t xml:space="preserve">se </w:t>
      </w:r>
      <w:r w:rsidRPr="00DD7389">
        <w:rPr>
          <w:rFonts w:ascii="Verdana" w:eastAsia="Arial" w:hAnsi="Verdana"/>
          <w:lang w:eastAsia="en-US"/>
        </w:rPr>
        <w:t>evidencia en teoría la existencia de políticas educativas, el currículo y las mallas curriculares, solo que distanciada de la realidad existente en el contexto educativo del estudio. Asunto que permite reflexionar en tanto a la necesidad de seguimiento a los centros educativos en materia de cumplimientos de políticas educativas que beneficien a los actores del hecho educativo. Lo que se verá reflejado en el desempeño docente y el desarrollo las habilidades cognitivas de los estudiantes.</w:t>
      </w:r>
    </w:p>
    <w:p w:rsidR="00C72DBD" w:rsidRPr="00753C26" w:rsidRDefault="00C72DBD" w:rsidP="00292E6C">
      <w:pPr>
        <w:keepNext/>
        <w:keepLines/>
        <w:widowControl w:val="0"/>
        <w:autoSpaceDE w:val="0"/>
        <w:autoSpaceDN w:val="0"/>
        <w:spacing w:before="40" w:after="120"/>
        <w:outlineLvl w:val="1"/>
        <w:rPr>
          <w:rFonts w:ascii="Verdana" w:hAnsi="Verdana"/>
          <w:color w:val="000000"/>
          <w:lang w:eastAsia="en-US"/>
        </w:rPr>
      </w:pPr>
      <w:bookmarkStart w:id="11" w:name="_Toc94379622"/>
      <w:r w:rsidRPr="00753C26">
        <w:rPr>
          <w:rFonts w:ascii="Verdana" w:hAnsi="Verdana"/>
          <w:color w:val="000000"/>
          <w:lang w:eastAsia="en-US"/>
        </w:rPr>
        <w:t>Resultados de los docentes</w:t>
      </w:r>
      <w:bookmarkEnd w:id="11"/>
      <w:r w:rsidRPr="00753C26">
        <w:rPr>
          <w:rFonts w:ascii="Verdana" w:hAnsi="Verdana"/>
          <w:color w:val="000000"/>
          <w:lang w:eastAsia="en-US"/>
        </w:rPr>
        <w:t xml:space="preserve">  </w:t>
      </w:r>
    </w:p>
    <w:p w:rsidR="00C72DBD" w:rsidRDefault="00C72DBD" w:rsidP="00292E6C">
      <w:pPr>
        <w:widowControl w:val="0"/>
        <w:autoSpaceDE w:val="0"/>
        <w:autoSpaceDN w:val="0"/>
        <w:spacing w:after="120"/>
        <w:jc w:val="both"/>
        <w:rPr>
          <w:rFonts w:ascii="Verdana" w:eastAsia="Arial" w:hAnsi="Verdana"/>
          <w:lang w:eastAsia="en-US"/>
        </w:rPr>
      </w:pPr>
      <w:r w:rsidRPr="00DD7389">
        <w:rPr>
          <w:rFonts w:ascii="Verdana" w:eastAsia="Arial" w:hAnsi="Verdana"/>
          <w:lang w:eastAsia="en-US"/>
        </w:rPr>
        <w:t>Los resultados encontrados a partir de la encuesta a los docentes, evidencia que, con respecto al ítem referente a manifestación de interés del estudiante al momento de abordar un contenido de clase, el comportamiento porcentual evidencia que, un 14% de los estudiantes siempre están interesado al abordar los contenidos de clase, y 29% de estudiantes casi siempre está interesado al abordar los contenidos de clase. En contraste 43% de los estudiantes manifiesta que casi nunca está interesado en los contenidos de clase, así como un 14% que nunca está interesado. Considerando los valores de mayor porcentaje para el caso de no estar interesado constituye un 57% de los estudiantes. Aspecto que permite inferir que más de la mitad de estudiantes de la muestra no tiene ningún interés al momento de abordar un contenido de clase, asunto que permite considerar la necesaria formación del docente para utilizar estrategias didácticas que incentiven el acto pedagógico y el aprendizaje de los niños.</w:t>
      </w:r>
    </w:p>
    <w:p w:rsidR="007D7BA5" w:rsidRDefault="00552E79" w:rsidP="006F51F4">
      <w:pPr>
        <w:spacing w:after="120"/>
        <w:ind w:right="4"/>
        <w:rPr>
          <w:rFonts w:ascii="Verdana" w:hAnsi="Verdana"/>
          <w:i/>
          <w:iCs/>
          <w:color w:val="000000"/>
          <w:lang w:eastAsia="en-US"/>
        </w:rPr>
      </w:pPr>
      <w:r>
        <w:rPr>
          <w:noProof/>
          <w:lang w:val="en-US" w:eastAsia="en-US"/>
        </w:rPr>
        <w:drawing>
          <wp:inline distT="0" distB="0" distL="0" distR="0" wp14:anchorId="6ABE2087" wp14:editId="04372D6D">
            <wp:extent cx="4600093" cy="1580400"/>
            <wp:effectExtent l="0" t="0" r="0" b="127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600093" cy="1580400"/>
                    </a:xfrm>
                    <a:prstGeom prst="rect">
                      <a:avLst/>
                    </a:prstGeom>
                  </pic:spPr>
                </pic:pic>
              </a:graphicData>
            </a:graphic>
          </wp:inline>
        </w:drawing>
      </w:r>
    </w:p>
    <w:p w:rsidR="007E18EB" w:rsidRDefault="00C72DBD" w:rsidP="00292E6C">
      <w:pPr>
        <w:widowControl w:val="0"/>
        <w:autoSpaceDE w:val="0"/>
        <w:autoSpaceDN w:val="0"/>
        <w:spacing w:after="120"/>
        <w:jc w:val="both"/>
        <w:rPr>
          <w:rFonts w:ascii="Verdana" w:eastAsia="Arial" w:hAnsi="Verdana"/>
          <w:lang w:eastAsia="en-US"/>
        </w:rPr>
      </w:pPr>
      <w:r w:rsidRPr="00DE16C6">
        <w:rPr>
          <w:rFonts w:ascii="Verdana" w:eastAsia="Arial" w:hAnsi="Verdana"/>
          <w:lang w:eastAsia="en-US"/>
        </w:rPr>
        <w:t xml:space="preserve">Con relación a la presencia de dificultades en los estudiantes al abordar conocimientos previos, los resultados demuestran que 43% siempre presentan dificultades para abordar los conocimientos previos, y un </w:t>
      </w:r>
      <w:r w:rsidR="00DE16C6" w:rsidRPr="00DE16C6">
        <w:rPr>
          <w:rFonts w:ascii="Verdana" w:eastAsia="Arial" w:hAnsi="Verdana"/>
          <w:lang w:eastAsia="en-US"/>
        </w:rPr>
        <w:t>29</w:t>
      </w:r>
      <w:r w:rsidRPr="00DE16C6">
        <w:rPr>
          <w:rFonts w:ascii="Verdana" w:eastAsia="Arial" w:hAnsi="Verdana"/>
          <w:lang w:eastAsia="en-US"/>
        </w:rPr>
        <w:t xml:space="preserve">% casi siempre la presenta, ambos valores porcentuales conforman un 86% de la muestra, la cual es más de la mitad de la misma, que tiene dificultades para abordar los </w:t>
      </w:r>
      <w:r w:rsidRPr="00DE16C6">
        <w:rPr>
          <w:rFonts w:ascii="Verdana" w:eastAsia="Arial" w:hAnsi="Verdana"/>
          <w:lang w:eastAsia="en-US"/>
        </w:rPr>
        <w:lastRenderedPageBreak/>
        <w:t>conocimientos previos en sus estudiantes. Asunto que permite deducir la necesaria formación en estrategias didácticas en los docentes para su abordaje pedagógico.</w:t>
      </w:r>
    </w:p>
    <w:p w:rsidR="007E18EB" w:rsidRDefault="00552E79" w:rsidP="006F51F4">
      <w:pPr>
        <w:widowControl w:val="0"/>
        <w:autoSpaceDE w:val="0"/>
        <w:autoSpaceDN w:val="0"/>
        <w:spacing w:after="120"/>
        <w:jc w:val="both"/>
        <w:rPr>
          <w:rFonts w:ascii="Verdana" w:eastAsia="Arial" w:hAnsi="Verdana"/>
          <w:lang w:eastAsia="en-US"/>
        </w:rPr>
      </w:pPr>
      <w:r>
        <w:rPr>
          <w:noProof/>
          <w:lang w:val="en-US" w:eastAsia="en-US"/>
        </w:rPr>
        <w:drawing>
          <wp:inline distT="0" distB="0" distL="0" distR="0" wp14:anchorId="7477EE69" wp14:editId="7FB8AE5B">
            <wp:extent cx="4515429" cy="1580400"/>
            <wp:effectExtent l="0" t="0" r="0" b="127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515429" cy="1580400"/>
                    </a:xfrm>
                    <a:prstGeom prst="rect">
                      <a:avLst/>
                    </a:prstGeom>
                  </pic:spPr>
                </pic:pic>
              </a:graphicData>
            </a:graphic>
          </wp:inline>
        </w:drawing>
      </w:r>
    </w:p>
    <w:p w:rsidR="00C72DBD" w:rsidRDefault="00C72DBD" w:rsidP="00292E6C">
      <w:pPr>
        <w:widowControl w:val="0"/>
        <w:autoSpaceDE w:val="0"/>
        <w:autoSpaceDN w:val="0"/>
        <w:spacing w:after="120"/>
        <w:jc w:val="both"/>
        <w:rPr>
          <w:noProof/>
          <w:lang w:eastAsia="en-US"/>
        </w:rPr>
      </w:pPr>
      <w:r w:rsidRPr="00DD7389">
        <w:rPr>
          <w:rFonts w:ascii="Verdana" w:eastAsia="Arial" w:hAnsi="Verdana"/>
          <w:lang w:eastAsia="en-US"/>
        </w:rPr>
        <w:t>De acuerdo a las experiencias doce</w:t>
      </w:r>
      <w:r w:rsidR="000E0D44">
        <w:rPr>
          <w:rFonts w:ascii="Verdana" w:eastAsia="Arial" w:hAnsi="Verdana"/>
          <w:lang w:eastAsia="en-US"/>
        </w:rPr>
        <w:t xml:space="preserve">ntes el área que han presentado </w:t>
      </w:r>
      <w:r w:rsidRPr="00DD7389">
        <w:rPr>
          <w:rFonts w:ascii="Verdana" w:eastAsia="Arial" w:hAnsi="Verdana"/>
          <w:lang w:eastAsia="en-US"/>
        </w:rPr>
        <w:t>los estudiantes con mayor dificultad ha sido el razonamiento y habilidades escolares, vinculadas al pensamiento crítico, funciones ejecutivas, habilidades escolares, como lectura, escritura y matemática. Aspecto que marca el sendero de mayor relevancia para el desarrollo de una estrategia didáctica basada en gamificación para el desarrollo de las habilidades cognitivas de los niños.</w:t>
      </w:r>
      <w:r w:rsidR="007E18EB" w:rsidRPr="007E18EB">
        <w:rPr>
          <w:noProof/>
          <w:lang w:eastAsia="en-US"/>
        </w:rPr>
        <w:t xml:space="preserve"> </w:t>
      </w:r>
    </w:p>
    <w:p w:rsidR="00552E79" w:rsidRDefault="00552E79" w:rsidP="006F51F4">
      <w:pPr>
        <w:widowControl w:val="0"/>
        <w:autoSpaceDE w:val="0"/>
        <w:autoSpaceDN w:val="0"/>
        <w:spacing w:after="120"/>
        <w:jc w:val="both"/>
        <w:rPr>
          <w:rFonts w:ascii="Verdana" w:eastAsia="Arial" w:hAnsi="Verdana"/>
          <w:lang w:eastAsia="en-US"/>
        </w:rPr>
      </w:pPr>
      <w:r>
        <w:rPr>
          <w:noProof/>
          <w:lang w:val="en-US" w:eastAsia="en-US"/>
        </w:rPr>
        <w:drawing>
          <wp:inline distT="0" distB="0" distL="0" distR="0" wp14:anchorId="1D2BA685" wp14:editId="1E1E76EF">
            <wp:extent cx="5472993" cy="146685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77609" cy="1468087"/>
                    </a:xfrm>
                    <a:prstGeom prst="rect">
                      <a:avLst/>
                    </a:prstGeom>
                  </pic:spPr>
                </pic:pic>
              </a:graphicData>
            </a:graphic>
          </wp:inline>
        </w:drawing>
      </w:r>
    </w:p>
    <w:p w:rsidR="006F51F4" w:rsidRDefault="00C72DBD" w:rsidP="00292E6C">
      <w:pPr>
        <w:widowControl w:val="0"/>
        <w:autoSpaceDE w:val="0"/>
        <w:autoSpaceDN w:val="0"/>
        <w:spacing w:after="120"/>
        <w:jc w:val="both"/>
        <w:rPr>
          <w:noProof/>
          <w:lang w:eastAsia="en-US"/>
        </w:rPr>
      </w:pPr>
      <w:r w:rsidRPr="00DD7389">
        <w:rPr>
          <w:rFonts w:ascii="Verdana" w:eastAsia="Arial" w:hAnsi="Verdana"/>
          <w:lang w:eastAsia="en-US"/>
        </w:rPr>
        <w:t>Los resultados respecto a si el docente hace uso de estrategias lúdicas para el desarrollo de clases, un 71% manifestó casi nunca realiza estrategias lúdicas para el desarrollo de las clases. Aspecto que permite inferir que la mayoría de los docentes omite las actividades lúdicas como estrategia para el desarrollo de las clases.</w:t>
      </w:r>
      <w:r w:rsidR="006F51F4" w:rsidRPr="006F51F4">
        <w:rPr>
          <w:noProof/>
          <w:lang w:eastAsia="en-US"/>
        </w:rPr>
        <w:t xml:space="preserve"> </w:t>
      </w:r>
    </w:p>
    <w:p w:rsidR="00C72DBD" w:rsidRPr="00DD7389" w:rsidRDefault="006F51F4" w:rsidP="00292E6C">
      <w:pPr>
        <w:widowControl w:val="0"/>
        <w:autoSpaceDE w:val="0"/>
        <w:autoSpaceDN w:val="0"/>
        <w:spacing w:after="120"/>
        <w:jc w:val="both"/>
        <w:rPr>
          <w:rFonts w:ascii="Verdana" w:eastAsia="Arial" w:hAnsi="Verdana"/>
          <w:lang w:eastAsia="en-US"/>
        </w:rPr>
      </w:pPr>
      <w:r>
        <w:rPr>
          <w:noProof/>
          <w:lang w:val="en-US" w:eastAsia="en-US"/>
        </w:rPr>
        <w:drawing>
          <wp:inline distT="0" distB="0" distL="0" distR="0" wp14:anchorId="2E0DB34F" wp14:editId="5EA4BAD5">
            <wp:extent cx="5297267" cy="1580400"/>
            <wp:effectExtent l="0" t="0" r="0" b="127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97267" cy="1580400"/>
                    </a:xfrm>
                    <a:prstGeom prst="rect">
                      <a:avLst/>
                    </a:prstGeom>
                  </pic:spPr>
                </pic:pic>
              </a:graphicData>
            </a:graphic>
          </wp:inline>
        </w:drawing>
      </w:r>
    </w:p>
    <w:p w:rsidR="00C72DBD" w:rsidRDefault="00C72DBD" w:rsidP="00292E6C">
      <w:pPr>
        <w:widowControl w:val="0"/>
        <w:autoSpaceDE w:val="0"/>
        <w:autoSpaceDN w:val="0"/>
        <w:spacing w:after="120"/>
        <w:jc w:val="both"/>
        <w:rPr>
          <w:rFonts w:ascii="Verdana" w:eastAsia="Arial" w:hAnsi="Verdana"/>
          <w:lang w:eastAsia="en-US"/>
        </w:rPr>
      </w:pPr>
      <w:r w:rsidRPr="00DD7389">
        <w:rPr>
          <w:rFonts w:ascii="Verdana" w:eastAsia="Arial" w:hAnsi="Verdana"/>
          <w:lang w:eastAsia="en-US"/>
        </w:rPr>
        <w:t xml:space="preserve">Al momento de preguntar si usan herramientas digitales para su práctica </w:t>
      </w:r>
      <w:r w:rsidRPr="00DD7389">
        <w:rPr>
          <w:rFonts w:ascii="Verdana" w:eastAsia="Arial" w:hAnsi="Verdana"/>
          <w:lang w:eastAsia="en-US"/>
        </w:rPr>
        <w:lastRenderedPageBreak/>
        <w:t>docente, un 29% manifestó que siempre y un 29% casi siempre. Asunto que permite inferir que 58% de los docentes utiliza las herramientas digitales en su acción pedagógica, es decir, más de la mitad de los encuestados. Siendo relevante valorar el 43% que no las utiliza, lo que hace visible de atender tal situación.</w:t>
      </w:r>
    </w:p>
    <w:p w:rsidR="00E248C7" w:rsidRPr="00DD7389" w:rsidRDefault="006F51F4" w:rsidP="006F51F4">
      <w:pPr>
        <w:widowControl w:val="0"/>
        <w:autoSpaceDE w:val="0"/>
        <w:autoSpaceDN w:val="0"/>
        <w:spacing w:after="120"/>
        <w:jc w:val="both"/>
        <w:rPr>
          <w:rFonts w:ascii="Verdana" w:eastAsia="Arial" w:hAnsi="Verdana"/>
          <w:lang w:eastAsia="en-US"/>
        </w:rPr>
      </w:pPr>
      <w:r>
        <w:rPr>
          <w:noProof/>
          <w:lang w:val="en-US" w:eastAsia="en-US"/>
        </w:rPr>
        <w:drawing>
          <wp:inline distT="0" distB="0" distL="0" distR="0" wp14:anchorId="458773AA" wp14:editId="0454F1FA">
            <wp:extent cx="4600575" cy="1447800"/>
            <wp:effectExtent l="0" t="0" r="9525"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600575" cy="1447800"/>
                    </a:xfrm>
                    <a:prstGeom prst="rect">
                      <a:avLst/>
                    </a:prstGeom>
                  </pic:spPr>
                </pic:pic>
              </a:graphicData>
            </a:graphic>
          </wp:inline>
        </w:drawing>
      </w:r>
    </w:p>
    <w:p w:rsidR="00C72DBD" w:rsidRPr="00DD7389" w:rsidRDefault="00C72DBD" w:rsidP="00292E6C">
      <w:pPr>
        <w:widowControl w:val="0"/>
        <w:autoSpaceDE w:val="0"/>
        <w:autoSpaceDN w:val="0"/>
        <w:spacing w:after="120"/>
        <w:jc w:val="both"/>
        <w:rPr>
          <w:rFonts w:ascii="Verdana" w:eastAsia="Arial" w:hAnsi="Verdana"/>
          <w:lang w:eastAsia="en-US"/>
        </w:rPr>
      </w:pPr>
      <w:r w:rsidRPr="00DD7389">
        <w:rPr>
          <w:rFonts w:ascii="Verdana" w:eastAsia="Arial" w:hAnsi="Verdana"/>
          <w:lang w:eastAsia="en-US"/>
        </w:rPr>
        <w:t>Con respecto a los resultados en tanto al reconocimiento de las potencialidades de la gamificación un 57% si conoce de la misma. Asunto que permite inferir que los docentes poseen conocimiento en su mayoría sobre la gamificación, elemento clave para el desarrollo de estrategias basadas en la gamificación para el desarrollo de las habilidades cognitivas en los niños.</w:t>
      </w:r>
    </w:p>
    <w:p w:rsidR="00C72DBD" w:rsidRPr="00DD7389" w:rsidRDefault="00C72DBD" w:rsidP="00292E6C">
      <w:pPr>
        <w:widowControl w:val="0"/>
        <w:autoSpaceDE w:val="0"/>
        <w:autoSpaceDN w:val="0"/>
        <w:spacing w:after="120"/>
        <w:jc w:val="both"/>
        <w:rPr>
          <w:rFonts w:ascii="Verdana" w:eastAsia="Arial" w:hAnsi="Verdana"/>
          <w:lang w:eastAsia="en-US"/>
        </w:rPr>
      </w:pPr>
      <w:r w:rsidRPr="00DD7389">
        <w:rPr>
          <w:rFonts w:ascii="Verdana" w:eastAsia="Arial" w:hAnsi="Verdana"/>
          <w:lang w:eastAsia="en-US"/>
        </w:rPr>
        <w:t xml:space="preserve">Respecto a si el docente ha realizado actividades gamificadas en clase, un 57% expresa que a veces, este criterio permite inferir que la mayoría de los docentes a utilizado actividades gamificadas, asunto positivo </w:t>
      </w:r>
      <w:r w:rsidR="000E0D44">
        <w:rPr>
          <w:rFonts w:ascii="Verdana" w:eastAsia="Arial" w:hAnsi="Verdana"/>
          <w:lang w:eastAsia="en-US"/>
        </w:rPr>
        <w:t>con el fin</w:t>
      </w:r>
      <w:r w:rsidRPr="00DD7389">
        <w:rPr>
          <w:rFonts w:ascii="Verdana" w:eastAsia="Arial" w:hAnsi="Verdana"/>
          <w:lang w:eastAsia="en-US"/>
        </w:rPr>
        <w:t xml:space="preserve"> de que éstas puedas ser usadas como estrategias didácticas para el desarrollo de las habilidades cognitivas en los niños.</w:t>
      </w:r>
    </w:p>
    <w:p w:rsidR="006F51F4" w:rsidRDefault="006F51F4" w:rsidP="006F51F4">
      <w:pPr>
        <w:spacing w:after="120"/>
        <w:jc w:val="both"/>
        <w:rPr>
          <w:rFonts w:ascii="Verdana" w:hAnsi="Verdana" w:cs="Arial"/>
        </w:rPr>
      </w:pPr>
      <w:r>
        <w:rPr>
          <w:noProof/>
          <w:lang w:val="en-US" w:eastAsia="en-US"/>
        </w:rPr>
        <w:drawing>
          <wp:inline distT="0" distB="0" distL="0" distR="0" wp14:anchorId="455A76F6" wp14:editId="3726BE5A">
            <wp:extent cx="4332702" cy="1438275"/>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346206" cy="1442758"/>
                    </a:xfrm>
                    <a:prstGeom prst="rect">
                      <a:avLst/>
                    </a:prstGeom>
                  </pic:spPr>
                </pic:pic>
              </a:graphicData>
            </a:graphic>
          </wp:inline>
        </w:drawing>
      </w:r>
    </w:p>
    <w:p w:rsidR="00E248C7" w:rsidRPr="00DD7389" w:rsidRDefault="00D219FC" w:rsidP="00CC5D4C">
      <w:pPr>
        <w:spacing w:after="120"/>
        <w:jc w:val="both"/>
        <w:rPr>
          <w:rFonts w:ascii="Verdana" w:hAnsi="Verdana" w:cs="Arial"/>
        </w:rPr>
      </w:pPr>
      <w:r>
        <w:rPr>
          <w:rFonts w:ascii="Verdana" w:hAnsi="Verdana" w:cs="Arial"/>
        </w:rPr>
        <w:t>DISCUSIÓN</w:t>
      </w:r>
    </w:p>
    <w:p w:rsidR="00E373EA" w:rsidRPr="00DD7389" w:rsidRDefault="00E373EA" w:rsidP="00292E6C">
      <w:pPr>
        <w:widowControl w:val="0"/>
        <w:autoSpaceDE w:val="0"/>
        <w:autoSpaceDN w:val="0"/>
        <w:spacing w:after="120"/>
        <w:jc w:val="both"/>
        <w:rPr>
          <w:rFonts w:ascii="Verdana" w:hAnsi="Verdana" w:cs="Arial"/>
        </w:rPr>
      </w:pPr>
      <w:r w:rsidRPr="00DD7389">
        <w:rPr>
          <w:rFonts w:ascii="Verdana" w:eastAsia="Arial" w:hAnsi="Verdana"/>
          <w:color w:val="000000"/>
          <w:lang w:eastAsia="en-US"/>
        </w:rPr>
        <w:t>Los resultados integrados para los tres momentos de su análisis e interpretación, permiten afirmar que directivos y docentes presentan conocimiento sobre actividades basadas en la gamificación, sin embargo, existe un desfase importante en la praxis pedagógica lineal, poca motivación que permite un ambiente estimulante para el desarrollo de las habilidades de los niños de la Escuela de Educación Básica “Babahoyo”. También que existen pocas manifestaciones por parte de los estudiantes en cuanto a la capacidad de asociar nueva información con la ayuda adquirida, dificultades para abordar conocimientos previos, entre otros.</w:t>
      </w:r>
    </w:p>
    <w:p w:rsidR="00E248C7" w:rsidRPr="00DD7389" w:rsidRDefault="00E373EA" w:rsidP="00292E6C">
      <w:pPr>
        <w:widowControl w:val="0"/>
        <w:autoSpaceDE w:val="0"/>
        <w:autoSpaceDN w:val="0"/>
        <w:spacing w:after="120"/>
        <w:jc w:val="both"/>
        <w:rPr>
          <w:rFonts w:ascii="Verdana" w:eastAsia="Calibri" w:hAnsi="Verdana"/>
          <w:color w:val="000000"/>
          <w:lang w:eastAsia="en-US"/>
        </w:rPr>
      </w:pPr>
      <w:r w:rsidRPr="00DD7389">
        <w:rPr>
          <w:rFonts w:ascii="Verdana" w:eastAsia="Arial" w:hAnsi="Verdana"/>
          <w:color w:val="000000"/>
          <w:lang w:eastAsia="en-US"/>
        </w:rPr>
        <w:lastRenderedPageBreak/>
        <w:t>De igual manera, de acuerdo a</w:t>
      </w:r>
      <w:r w:rsidR="00E248C7" w:rsidRPr="00DD7389">
        <w:rPr>
          <w:rFonts w:ascii="Verdana" w:eastAsia="Arial" w:hAnsi="Verdana"/>
          <w:color w:val="000000"/>
          <w:lang w:eastAsia="en-US"/>
        </w:rPr>
        <w:t xml:space="preserve"> los resultados del inventario de Battelle, </w:t>
      </w:r>
      <w:r w:rsidR="00DE16C6">
        <w:rPr>
          <w:rFonts w:ascii="Verdana" w:eastAsia="Calibri" w:hAnsi="Verdana"/>
          <w:color w:val="000000"/>
          <w:lang w:eastAsia="en-US"/>
        </w:rPr>
        <w:t>las habilidades</w:t>
      </w:r>
      <w:r w:rsidR="00E248C7" w:rsidRPr="00DD7389">
        <w:rPr>
          <w:rFonts w:ascii="Verdana" w:eastAsia="Calibri" w:hAnsi="Verdana"/>
          <w:color w:val="000000"/>
          <w:lang w:eastAsia="en-US"/>
        </w:rPr>
        <w:t xml:space="preserve"> de los estudiantes evaluados, presentan diversas variaciones en sus dimensiones. Mientras la dimensión de discriminación perceptiva presenta un ligero porcentaje de desarrollo normal con respecto a las otras dimensiones, la dimensión de memoria, razonamiento y habilidades escolares y desarrollo conceptual están ligeramente por debajo de lo correspondiente a su nivel de edad.  En general, el desarrollo del área cognitiva de los estudiantes evaluados no corresponde en su totalidad al intervalo normal de desarrollo en las dimensiones correspondientes para la edad del subnivel preparatoria.</w:t>
      </w:r>
    </w:p>
    <w:p w:rsidR="00E373EA" w:rsidRDefault="00E373EA" w:rsidP="00292E6C">
      <w:pPr>
        <w:widowControl w:val="0"/>
        <w:autoSpaceDE w:val="0"/>
        <w:autoSpaceDN w:val="0"/>
        <w:spacing w:after="120"/>
        <w:jc w:val="both"/>
        <w:rPr>
          <w:rFonts w:ascii="Verdana" w:hAnsi="Verdana"/>
          <w:color w:val="000000"/>
          <w:lang w:eastAsia="en-US"/>
        </w:rPr>
      </w:pPr>
      <w:r w:rsidRPr="00C72DBD">
        <w:rPr>
          <w:rFonts w:ascii="Verdana" w:hAnsi="Verdana"/>
          <w:color w:val="000000"/>
          <w:lang w:eastAsia="en-US"/>
        </w:rPr>
        <w:t>Tal como explican</w:t>
      </w:r>
      <w:r w:rsidRPr="00F95DE2">
        <w:rPr>
          <w:rFonts w:ascii="Verdana" w:hAnsi="Verdana"/>
          <w:color w:val="000000"/>
          <w:lang w:eastAsia="en-US"/>
        </w:rPr>
        <w:t xml:space="preserve"> </w:t>
      </w:r>
      <w:r w:rsidR="0013721C">
        <w:rPr>
          <w:rFonts w:ascii="Verdana" w:hAnsi="Verdana"/>
          <w:noProof/>
          <w:color w:val="000000"/>
          <w:lang w:eastAsia="en-US"/>
        </w:rPr>
        <w:t>Newborg et.</w:t>
      </w:r>
      <w:r w:rsidRPr="00F95DE2">
        <w:rPr>
          <w:rFonts w:ascii="Verdana" w:hAnsi="Verdana"/>
          <w:noProof/>
          <w:color w:val="000000"/>
          <w:lang w:eastAsia="en-US"/>
        </w:rPr>
        <w:t xml:space="preserve"> al </w:t>
      </w:r>
      <w:sdt>
        <w:sdtPr>
          <w:rPr>
            <w:rFonts w:ascii="Verdana" w:hAnsi="Verdana"/>
            <w:noProof/>
            <w:color w:val="000000"/>
            <w:lang w:eastAsia="en-US"/>
          </w:rPr>
          <w:id w:val="1576631943"/>
          <w:citation/>
        </w:sdtPr>
        <w:sdtEndPr/>
        <w:sdtContent>
          <w:r w:rsidRPr="00F95DE2">
            <w:rPr>
              <w:rFonts w:ascii="Verdana" w:hAnsi="Verdana"/>
              <w:noProof/>
              <w:color w:val="000000"/>
              <w:lang w:eastAsia="en-US"/>
            </w:rPr>
            <w:fldChar w:fldCharType="begin"/>
          </w:r>
          <w:r w:rsidRPr="00F95DE2">
            <w:rPr>
              <w:rFonts w:ascii="Verdana" w:hAnsi="Verdana"/>
              <w:noProof/>
              <w:color w:val="000000"/>
              <w:lang w:eastAsia="en-US"/>
            </w:rPr>
            <w:instrText xml:space="preserve">CITATION New \n  \t  \l 3082 </w:instrText>
          </w:r>
          <w:r w:rsidRPr="00F95DE2">
            <w:rPr>
              <w:rFonts w:ascii="Verdana" w:hAnsi="Verdana"/>
              <w:noProof/>
              <w:color w:val="000000"/>
              <w:lang w:eastAsia="en-US"/>
            </w:rPr>
            <w:fldChar w:fldCharType="separate"/>
          </w:r>
          <w:r w:rsidRPr="00F95DE2">
            <w:rPr>
              <w:rFonts w:ascii="Verdana" w:hAnsi="Verdana"/>
              <w:noProof/>
              <w:color w:val="000000"/>
              <w:lang w:eastAsia="en-US"/>
            </w:rPr>
            <w:t>(2011)</w:t>
          </w:r>
          <w:r w:rsidRPr="00F95DE2">
            <w:rPr>
              <w:rFonts w:ascii="Verdana" w:hAnsi="Verdana"/>
              <w:noProof/>
              <w:color w:val="000000"/>
              <w:lang w:eastAsia="en-US"/>
            </w:rPr>
            <w:fldChar w:fldCharType="end"/>
          </w:r>
        </w:sdtContent>
      </w:sdt>
      <w:r w:rsidRPr="00C72DBD">
        <w:rPr>
          <w:rFonts w:ascii="Verdana" w:hAnsi="Verdana"/>
          <w:color w:val="000000"/>
          <w:lang w:eastAsia="en-US"/>
        </w:rPr>
        <w:t xml:space="preserve"> “el objetivo de esta prueba es detectar ayuda a identificar los puntos fuertes y los puntos débiles del desarrollo normal o superior en niños sin deficiencias, durante las etapas de educación Infantil y Primaria” (p.10). Considerando el área a evaluar en esta investigación a través de este instrumento como es la cognitiva, se aprecian habilidades y capacidades de tipo conceptual. Aspecto que toma en cuenta las correctas interacciones de los sentidos con su entorno inmediato</w:t>
      </w:r>
      <w:r w:rsidR="0013721C">
        <w:rPr>
          <w:rFonts w:ascii="Verdana" w:hAnsi="Verdana"/>
          <w:color w:val="000000"/>
          <w:lang w:eastAsia="en-US"/>
        </w:rPr>
        <w:t>.</w:t>
      </w:r>
    </w:p>
    <w:p w:rsidR="00E248C7" w:rsidRPr="005D59DD" w:rsidRDefault="005D59DD" w:rsidP="005D59DD">
      <w:pPr>
        <w:widowControl w:val="0"/>
        <w:autoSpaceDE w:val="0"/>
        <w:autoSpaceDN w:val="0"/>
        <w:spacing w:after="120"/>
        <w:jc w:val="both"/>
        <w:rPr>
          <w:rFonts w:ascii="Verdana" w:eastAsia="Arial" w:hAnsi="Verdana"/>
          <w:color w:val="000000"/>
          <w:lang w:eastAsia="en-US"/>
        </w:rPr>
      </w:pPr>
      <w:r>
        <w:rPr>
          <w:rFonts w:ascii="Verdana" w:hAnsi="Verdana"/>
          <w:color w:val="000000"/>
          <w:lang w:eastAsia="en-US"/>
        </w:rPr>
        <w:t>Los resultados obtenidos permitieron identificar una serie de fortalezas en los docentes</w:t>
      </w:r>
      <w:r>
        <w:rPr>
          <w:rFonts w:ascii="Verdana" w:eastAsia="Arial" w:hAnsi="Verdana"/>
          <w:color w:val="000000"/>
          <w:lang w:eastAsia="en-US"/>
        </w:rPr>
        <w:t xml:space="preserve"> como el hecho de</w:t>
      </w:r>
      <w:r w:rsidR="00E248C7" w:rsidRPr="00DD7389">
        <w:rPr>
          <w:rFonts w:ascii="Verdana" w:eastAsia="Arial" w:hAnsi="Verdana"/>
          <w:lang w:val="es-EC" w:eastAsia="en-US"/>
        </w:rPr>
        <w:t xml:space="preserve"> maneja</w:t>
      </w:r>
      <w:r>
        <w:rPr>
          <w:rFonts w:ascii="Verdana" w:eastAsia="Arial" w:hAnsi="Verdana"/>
          <w:lang w:val="es-EC" w:eastAsia="en-US"/>
        </w:rPr>
        <w:t>r</w:t>
      </w:r>
      <w:r w:rsidR="00E248C7" w:rsidRPr="00DD7389">
        <w:rPr>
          <w:rFonts w:ascii="Verdana" w:eastAsia="Arial" w:hAnsi="Verdana"/>
          <w:lang w:val="es-EC" w:eastAsia="en-US"/>
        </w:rPr>
        <w:t xml:space="preserve"> herramientas digitales</w:t>
      </w:r>
      <w:r>
        <w:rPr>
          <w:rFonts w:ascii="Verdana" w:eastAsia="Arial" w:hAnsi="Verdana"/>
          <w:lang w:val="es-EC" w:eastAsia="en-US"/>
        </w:rPr>
        <w:t>, conoce de la gamificación, haber</w:t>
      </w:r>
      <w:r w:rsidR="00E248C7" w:rsidRPr="00DD7389">
        <w:rPr>
          <w:rFonts w:ascii="Verdana" w:eastAsia="Arial" w:hAnsi="Verdana"/>
          <w:lang w:val="es-EC" w:eastAsia="en-US"/>
        </w:rPr>
        <w:t xml:space="preserve"> utilizado actividades gamificadas con los niños.</w:t>
      </w:r>
      <w:r>
        <w:rPr>
          <w:rFonts w:ascii="Verdana" w:eastAsia="Arial" w:hAnsi="Verdana"/>
          <w:color w:val="000000"/>
          <w:lang w:eastAsia="en-US"/>
        </w:rPr>
        <w:t xml:space="preserve"> Y en los</w:t>
      </w:r>
      <w:r w:rsidR="00E248C7" w:rsidRPr="00DD7389">
        <w:rPr>
          <w:rFonts w:ascii="Verdana" w:eastAsia="Arial" w:hAnsi="Verdana"/>
          <w:lang w:val="es-EC" w:eastAsia="en-US"/>
        </w:rPr>
        <w:t xml:space="preserve"> directivo</w:t>
      </w:r>
      <w:r>
        <w:rPr>
          <w:rFonts w:ascii="Verdana" w:eastAsia="Arial" w:hAnsi="Verdana"/>
          <w:lang w:val="es-EC" w:eastAsia="en-US"/>
        </w:rPr>
        <w:t>s el hecho de</w:t>
      </w:r>
      <w:r w:rsidR="00E248C7" w:rsidRPr="00DD7389">
        <w:rPr>
          <w:rFonts w:ascii="Verdana" w:eastAsia="Arial" w:hAnsi="Verdana"/>
          <w:lang w:val="es-EC" w:eastAsia="en-US"/>
        </w:rPr>
        <w:t xml:space="preserve"> promueve en los docentes el cumplimiento de actividades pedagógicas de estimulación para el desarrollo de habilidades y destrezas</w:t>
      </w:r>
      <w:r>
        <w:rPr>
          <w:rFonts w:ascii="Verdana" w:eastAsia="Arial" w:hAnsi="Verdana"/>
          <w:lang w:val="es-EC" w:eastAsia="en-US"/>
        </w:rPr>
        <w:t>, así como</w:t>
      </w:r>
      <w:r w:rsidR="00E248C7" w:rsidRPr="00DD7389">
        <w:rPr>
          <w:rFonts w:ascii="Verdana" w:eastAsia="Arial" w:hAnsi="Verdana"/>
          <w:lang w:val="es-EC" w:eastAsia="en-US"/>
        </w:rPr>
        <w:t xml:space="preserve"> la iniciativa de incorporar a los padres y representantes en actividades pedagógicas para incentivar a los niños.</w:t>
      </w:r>
      <w:r>
        <w:rPr>
          <w:rFonts w:ascii="Verdana" w:eastAsia="Arial" w:hAnsi="Verdana"/>
          <w:color w:val="000000"/>
          <w:lang w:eastAsia="en-US"/>
        </w:rPr>
        <w:t xml:space="preserve"> Además de que, </w:t>
      </w:r>
      <w:r>
        <w:rPr>
          <w:rFonts w:ascii="Verdana" w:eastAsia="Arial" w:hAnsi="Verdana"/>
          <w:lang w:val="es-EC" w:eastAsia="en-US"/>
        </w:rPr>
        <w:t>e</w:t>
      </w:r>
      <w:r w:rsidR="00E248C7" w:rsidRPr="00DD7389">
        <w:rPr>
          <w:rFonts w:ascii="Verdana" w:eastAsia="Arial" w:hAnsi="Verdana"/>
          <w:lang w:val="es-EC" w:eastAsia="en-US"/>
        </w:rPr>
        <w:t>xiste una variedad de niños y niñas con progresos significativos en el desarrollo de sus habilidades cognitivas.</w:t>
      </w:r>
    </w:p>
    <w:p w:rsidR="00E248C7" w:rsidRPr="00D219FC" w:rsidRDefault="005D59DD" w:rsidP="005D59DD">
      <w:pPr>
        <w:widowControl w:val="0"/>
        <w:autoSpaceDE w:val="0"/>
        <w:autoSpaceDN w:val="0"/>
        <w:spacing w:after="120"/>
        <w:ind w:right="6"/>
        <w:jc w:val="both"/>
        <w:rPr>
          <w:rFonts w:ascii="Verdana" w:hAnsi="Verdana"/>
          <w:bCs/>
          <w:color w:val="000000"/>
          <w:lang w:val="es-EC" w:eastAsia="en-US"/>
        </w:rPr>
      </w:pPr>
      <w:r w:rsidRPr="005D59DD">
        <w:rPr>
          <w:rFonts w:ascii="Verdana" w:hAnsi="Verdana"/>
          <w:color w:val="000000"/>
          <w:lang w:eastAsia="en-US"/>
        </w:rPr>
        <w:t>Por otro lado, se pudo evidenciar, ciertas debilidades como</w:t>
      </w:r>
      <w:r>
        <w:rPr>
          <w:rFonts w:ascii="Verdana" w:hAnsi="Verdana"/>
          <w:b/>
          <w:color w:val="000000"/>
          <w:lang w:eastAsia="en-US"/>
        </w:rPr>
        <w:t xml:space="preserve">, </w:t>
      </w:r>
      <w:r w:rsidR="00E248C7" w:rsidRPr="00DD7389">
        <w:rPr>
          <w:rFonts w:ascii="Verdana" w:hAnsi="Verdana"/>
          <w:bCs/>
          <w:color w:val="000000"/>
          <w:lang w:val="es-EC" w:eastAsia="en-US"/>
        </w:rPr>
        <w:t>os docentes no están motivados por una práctica pedagógica lúdica</w:t>
      </w:r>
      <w:r>
        <w:rPr>
          <w:rFonts w:ascii="Verdana" w:hAnsi="Verdana"/>
          <w:bCs/>
          <w:color w:val="000000"/>
          <w:lang w:val="es-EC" w:eastAsia="en-US"/>
        </w:rPr>
        <w:t>, e</w:t>
      </w:r>
      <w:r w:rsidR="00E248C7" w:rsidRPr="00DD7389">
        <w:rPr>
          <w:rFonts w:ascii="Verdana" w:hAnsi="Verdana"/>
          <w:bCs/>
          <w:color w:val="000000"/>
          <w:lang w:val="es-EC" w:eastAsia="en-US"/>
        </w:rPr>
        <w:t>xiste una división docente en términos de la práctica pedagógica</w:t>
      </w:r>
      <w:r>
        <w:rPr>
          <w:rFonts w:ascii="Verdana" w:hAnsi="Verdana"/>
          <w:bCs/>
          <w:color w:val="000000"/>
          <w:lang w:val="es-EC" w:eastAsia="en-US"/>
        </w:rPr>
        <w:t xml:space="preserve">, se aprecia </w:t>
      </w:r>
      <w:r w:rsidR="00E248C7" w:rsidRPr="00DD7389">
        <w:rPr>
          <w:rFonts w:ascii="Verdana" w:hAnsi="Verdana"/>
          <w:bCs/>
          <w:color w:val="000000"/>
          <w:lang w:val="es-EC" w:eastAsia="en-US"/>
        </w:rPr>
        <w:t>una ausencia de actividad de formación que pueda mejorar el desempeño docente y con esto el de</w:t>
      </w:r>
      <w:r>
        <w:rPr>
          <w:rFonts w:ascii="Verdana" w:hAnsi="Verdana"/>
          <w:bCs/>
          <w:color w:val="000000"/>
          <w:lang w:val="es-EC" w:eastAsia="en-US"/>
        </w:rPr>
        <w:t xml:space="preserve">sarrollo cognitivo de los niños, se evidenció </w:t>
      </w:r>
      <w:r w:rsidR="00E248C7" w:rsidRPr="00DD7389">
        <w:rPr>
          <w:rFonts w:ascii="Verdana" w:hAnsi="Verdana"/>
          <w:bCs/>
          <w:color w:val="000000"/>
          <w:lang w:val="es-EC" w:eastAsia="en-US"/>
        </w:rPr>
        <w:t>una mayoría importante de niños con necesidad de afianzamiento a través de las estrategias didácticas de gamificación para mejorar su desarrollo cognitivo en sus difer</w:t>
      </w:r>
      <w:r>
        <w:rPr>
          <w:rFonts w:ascii="Verdana" w:hAnsi="Verdana"/>
          <w:bCs/>
          <w:color w:val="000000"/>
          <w:lang w:val="es-EC" w:eastAsia="en-US"/>
        </w:rPr>
        <w:t>entes dimensiones e indicadores, l</w:t>
      </w:r>
      <w:r w:rsidR="00E248C7" w:rsidRPr="00DD7389">
        <w:rPr>
          <w:rFonts w:ascii="Verdana" w:hAnsi="Verdana"/>
          <w:bCs/>
          <w:color w:val="000000"/>
          <w:lang w:val="es-EC" w:eastAsia="en-US"/>
        </w:rPr>
        <w:t xml:space="preserve">a voluntad de cambio del docente al cambio de la acción pedagógica se contrapone a la forma </w:t>
      </w:r>
      <w:r>
        <w:rPr>
          <w:rFonts w:ascii="Verdana" w:hAnsi="Verdana"/>
          <w:bCs/>
          <w:color w:val="000000"/>
          <w:lang w:val="es-EC" w:eastAsia="en-US"/>
        </w:rPr>
        <w:t>de ejercer la acción pedagógica y se</w:t>
      </w:r>
      <w:r w:rsidR="00E248C7" w:rsidRPr="00DD7389">
        <w:rPr>
          <w:rFonts w:ascii="Verdana" w:hAnsi="Verdana"/>
          <w:bCs/>
          <w:color w:val="000000"/>
          <w:lang w:val="es-EC" w:eastAsia="en-US"/>
        </w:rPr>
        <w:t xml:space="preserve"> aprecia un clima escolar pasivo que no favorece el sentido de la motivación y estimulación de los niños.</w:t>
      </w:r>
    </w:p>
    <w:p w:rsidR="00F15838" w:rsidRPr="00DD7389" w:rsidRDefault="00D94967" w:rsidP="00292E6C">
      <w:pPr>
        <w:spacing w:after="120"/>
        <w:jc w:val="both"/>
        <w:rPr>
          <w:rFonts w:ascii="Verdana" w:hAnsi="Verdana" w:cs="Arial"/>
        </w:rPr>
      </w:pPr>
      <w:r>
        <w:rPr>
          <w:rFonts w:ascii="Verdana" w:hAnsi="Verdana" w:cs="Arial"/>
        </w:rPr>
        <w:t>CONCLUSIONES</w:t>
      </w:r>
    </w:p>
    <w:p w:rsidR="00E373EA" w:rsidRPr="00DD7389" w:rsidRDefault="00E373EA" w:rsidP="00292E6C">
      <w:pPr>
        <w:spacing w:after="120"/>
        <w:jc w:val="both"/>
        <w:rPr>
          <w:rFonts w:ascii="Verdana" w:hAnsi="Verdana" w:cs="Arial"/>
        </w:rPr>
      </w:pPr>
      <w:r w:rsidRPr="00DD7389">
        <w:rPr>
          <w:rFonts w:ascii="Verdana" w:hAnsi="Verdana" w:cs="Arial"/>
        </w:rPr>
        <w:t>Durante los últimos años,</w:t>
      </w:r>
      <w:r w:rsidR="004D2D5F">
        <w:rPr>
          <w:rFonts w:ascii="Verdana" w:hAnsi="Verdana" w:cs="Arial"/>
        </w:rPr>
        <w:t xml:space="preserve"> </w:t>
      </w:r>
      <w:r w:rsidRPr="00DD7389">
        <w:rPr>
          <w:rFonts w:ascii="Verdana" w:hAnsi="Verdana" w:cs="Arial"/>
        </w:rPr>
        <w:t>en el contexto educativo ha habido un interés creciente en la aplicación de la gamificación (es decir, el uso de elementos del juego) al entrenamiento cognitivo computarizado. La introducción de funciones de ludificación dirigidas a tales tareas puede aumentar la motivación y el compromiso, así como mejorar los efectos de la intervención.</w:t>
      </w:r>
    </w:p>
    <w:p w:rsidR="00E373EA" w:rsidRPr="00DD7389" w:rsidRDefault="00E373EA" w:rsidP="00292E6C">
      <w:pPr>
        <w:spacing w:after="120"/>
        <w:jc w:val="both"/>
        <w:rPr>
          <w:rFonts w:ascii="Verdana" w:eastAsia="Arial" w:hAnsi="Verdana"/>
          <w:color w:val="000000"/>
          <w:lang w:eastAsia="en-US"/>
        </w:rPr>
      </w:pPr>
      <w:r w:rsidRPr="00DD7389">
        <w:rPr>
          <w:rFonts w:ascii="Verdana" w:eastAsia="Arial" w:hAnsi="Verdana"/>
          <w:color w:val="000000"/>
          <w:lang w:eastAsia="en-US"/>
        </w:rPr>
        <w:lastRenderedPageBreak/>
        <w:t>Los resultados permiten evidenciar que directivos y docentes presentan conocimiento sobre actividades basadas en la gamificación, sin embargo, existe un desfase importante en la praxis pedagógica lineal, poca motivación que permite un ambiente estimulante para el desarrollo de las habilidades de los niños de la Escuela de Educación Básica “Babahoyo</w:t>
      </w:r>
      <w:r w:rsidR="005D0280">
        <w:rPr>
          <w:rFonts w:ascii="Verdana" w:eastAsia="Arial" w:hAnsi="Verdana"/>
          <w:color w:val="000000"/>
          <w:lang w:eastAsia="en-US"/>
        </w:rPr>
        <w:t>”</w:t>
      </w:r>
      <w:r w:rsidRPr="00DD7389">
        <w:rPr>
          <w:rFonts w:ascii="Verdana" w:eastAsia="Arial" w:hAnsi="Verdana"/>
          <w:color w:val="000000"/>
          <w:lang w:eastAsia="en-US"/>
        </w:rPr>
        <w:t>.</w:t>
      </w:r>
    </w:p>
    <w:p w:rsidR="00950FEB" w:rsidRPr="008A194E" w:rsidRDefault="00E373EA" w:rsidP="008A194E">
      <w:pPr>
        <w:widowControl w:val="0"/>
        <w:autoSpaceDE w:val="0"/>
        <w:autoSpaceDN w:val="0"/>
        <w:spacing w:after="120"/>
        <w:jc w:val="both"/>
        <w:rPr>
          <w:rFonts w:ascii="Verdana" w:eastAsia="Calibri" w:hAnsi="Verdana"/>
          <w:color w:val="000000"/>
          <w:lang w:eastAsia="en-US"/>
        </w:rPr>
      </w:pPr>
      <w:r w:rsidRPr="00DD7389">
        <w:rPr>
          <w:rFonts w:ascii="Verdana" w:eastAsia="Arial" w:hAnsi="Verdana"/>
          <w:color w:val="000000"/>
          <w:lang w:eastAsia="en-US"/>
        </w:rPr>
        <w:t xml:space="preserve">Con respecto a los estudiantes </w:t>
      </w:r>
      <w:r w:rsidRPr="00DD7389">
        <w:rPr>
          <w:rFonts w:ascii="Verdana" w:eastAsia="Calibri" w:hAnsi="Verdana"/>
          <w:color w:val="000000"/>
          <w:lang w:eastAsia="en-US"/>
        </w:rPr>
        <w:t xml:space="preserve">el desarrollo del área cognitiva no corresponde en su totalidad al intervalo normal de desarrollo en las dimensiones correspondientes para la edad del subnivel </w:t>
      </w:r>
      <w:r w:rsidR="00D219FC" w:rsidRPr="00DD7389">
        <w:rPr>
          <w:rFonts w:ascii="Verdana" w:eastAsia="Calibri" w:hAnsi="Verdana"/>
          <w:color w:val="000000"/>
          <w:lang w:eastAsia="en-US"/>
        </w:rPr>
        <w:t>preparatoria por</w:t>
      </w:r>
      <w:r w:rsidRPr="00DD7389">
        <w:rPr>
          <w:rFonts w:ascii="Verdana" w:eastAsia="Calibri" w:hAnsi="Verdana"/>
          <w:color w:val="000000"/>
          <w:lang w:eastAsia="en-US"/>
        </w:rPr>
        <w:t xml:space="preserve"> lo que se sugiere planificar estrategias didácticas basada en la gamificación para el desarrollo de las habilidades cognitivas en los estudiantes de preparatoria de la Escuela de Educación Básica “Babahoyo”.</w:t>
      </w:r>
    </w:p>
    <w:p w:rsidR="007513C3" w:rsidRPr="00DD7389" w:rsidRDefault="00DB3A0C" w:rsidP="00F95DE2">
      <w:pPr>
        <w:spacing w:after="120"/>
        <w:jc w:val="both"/>
        <w:rPr>
          <w:rFonts w:ascii="Verdana" w:hAnsi="Verdana"/>
        </w:rPr>
      </w:pPr>
      <w:r w:rsidRPr="00DD7389">
        <w:rPr>
          <w:rFonts w:ascii="Verdana" w:hAnsi="Verdana"/>
        </w:rPr>
        <w:t>REFERENCIAS BIBLIOGRÁFICAS</w:t>
      </w:r>
    </w:p>
    <w:sdt>
      <w:sdtPr>
        <w:rPr>
          <w:rFonts w:ascii="Times New Roman" w:eastAsia="Times New Roman" w:hAnsi="Times New Roman" w:cs="Times New Roman"/>
          <w:color w:val="auto"/>
          <w:sz w:val="24"/>
          <w:szCs w:val="24"/>
        </w:rPr>
        <w:id w:val="-353418416"/>
        <w:docPartObj>
          <w:docPartGallery w:val="Bibliographies"/>
          <w:docPartUnique/>
        </w:docPartObj>
      </w:sdtPr>
      <w:sdtEndPr/>
      <w:sdtContent>
        <w:p w:rsidR="00881561" w:rsidRDefault="00881561" w:rsidP="006F51F4">
          <w:pPr>
            <w:pStyle w:val="Ttulo1"/>
          </w:pPr>
        </w:p>
        <w:sdt>
          <w:sdtPr>
            <w:id w:val="-573587230"/>
            <w:bibliography/>
          </w:sdtPr>
          <w:sdtEndPr/>
          <w:sdtContent>
            <w:p w:rsidR="00DE16C6" w:rsidRPr="00DE16C6" w:rsidRDefault="00881561" w:rsidP="00DE16C6">
              <w:pPr>
                <w:pStyle w:val="Bibliografa"/>
                <w:ind w:left="720" w:hanging="720"/>
                <w:jc w:val="both"/>
                <w:rPr>
                  <w:noProof/>
                  <w:sz w:val="20"/>
                  <w:szCs w:val="20"/>
                  <w:lang w:val="en-US"/>
                </w:rPr>
              </w:pPr>
              <w:r w:rsidRPr="00DE16C6">
                <w:rPr>
                  <w:sz w:val="20"/>
                  <w:szCs w:val="20"/>
                </w:rPr>
                <w:fldChar w:fldCharType="begin"/>
              </w:r>
              <w:r w:rsidRPr="006F51F4">
                <w:rPr>
                  <w:sz w:val="20"/>
                  <w:szCs w:val="20"/>
                </w:rPr>
                <w:instrText>BIBLIOGRAPHY</w:instrText>
              </w:r>
              <w:r w:rsidRPr="00DE16C6">
                <w:rPr>
                  <w:sz w:val="20"/>
                  <w:szCs w:val="20"/>
                </w:rPr>
                <w:fldChar w:fldCharType="separate"/>
              </w:r>
              <w:r w:rsidR="00DE16C6" w:rsidRPr="00DE16C6">
                <w:rPr>
                  <w:noProof/>
                  <w:sz w:val="20"/>
                  <w:szCs w:val="20"/>
                </w:rPr>
                <w:t xml:space="preserve">Adams, N. (2015). Taxonomía de Bloom de los objetivos de aprendizaje cognitivo. </w:t>
              </w:r>
              <w:r w:rsidR="00DE16C6" w:rsidRPr="00DE16C6">
                <w:rPr>
                  <w:i/>
                  <w:iCs/>
                  <w:noProof/>
                  <w:sz w:val="20"/>
                  <w:szCs w:val="20"/>
                  <w:lang w:val="en-US"/>
                </w:rPr>
                <w:t>Journal of the medical library association, 103</w:t>
              </w:r>
              <w:r w:rsidR="00DE16C6" w:rsidRPr="00DE16C6">
                <w:rPr>
                  <w:noProof/>
                  <w:sz w:val="20"/>
                  <w:szCs w:val="20"/>
                  <w:lang w:val="en-US"/>
                </w:rPr>
                <w:t>(3), 152–153. doi:10.3163/1536-5050.103.3.010</w:t>
              </w:r>
            </w:p>
            <w:p w:rsidR="00DE16C6" w:rsidRPr="00DE16C6" w:rsidRDefault="00DE16C6" w:rsidP="00DE16C6">
              <w:pPr>
                <w:pStyle w:val="Bibliografa"/>
                <w:ind w:left="720" w:hanging="720"/>
                <w:jc w:val="both"/>
                <w:rPr>
                  <w:noProof/>
                  <w:sz w:val="20"/>
                  <w:szCs w:val="20"/>
                </w:rPr>
              </w:pPr>
              <w:r w:rsidRPr="00DE16C6">
                <w:rPr>
                  <w:noProof/>
                  <w:sz w:val="20"/>
                  <w:szCs w:val="20"/>
                  <w:lang w:val="en-US"/>
                </w:rPr>
                <w:t xml:space="preserve">Anchundia, P., &amp; Alcívar, I. y. (2021). </w:t>
              </w:r>
              <w:r w:rsidRPr="00DE16C6">
                <w:rPr>
                  <w:noProof/>
                  <w:sz w:val="20"/>
                  <w:szCs w:val="20"/>
                </w:rPr>
                <w:t xml:space="preserve">Innovación Tecnológica de la gestión de vinculación con la sociedad en la Universidad Laica Eloy Alfaro de Manabí. </w:t>
              </w:r>
              <w:r w:rsidRPr="00DE16C6">
                <w:rPr>
                  <w:i/>
                  <w:iCs/>
                  <w:noProof/>
                  <w:sz w:val="20"/>
                  <w:szCs w:val="20"/>
                </w:rPr>
                <w:t>REFCaIE, 9</w:t>
              </w:r>
              <w:r w:rsidRPr="00DE16C6">
                <w:rPr>
                  <w:noProof/>
                  <w:sz w:val="20"/>
                  <w:szCs w:val="20"/>
                </w:rPr>
                <w:t>(1), 32-46. Obtenido de https://refcale.uleam.edu.ec/index.php/refcale/article/view/3447/2136</w:t>
              </w:r>
            </w:p>
            <w:p w:rsidR="00DE16C6" w:rsidRPr="00DE16C6" w:rsidRDefault="00DE16C6" w:rsidP="00DE16C6">
              <w:pPr>
                <w:pStyle w:val="Bibliografa"/>
                <w:ind w:left="720" w:hanging="720"/>
                <w:jc w:val="both"/>
                <w:rPr>
                  <w:noProof/>
                  <w:sz w:val="20"/>
                  <w:szCs w:val="20"/>
                </w:rPr>
              </w:pPr>
              <w:r w:rsidRPr="00DE16C6">
                <w:rPr>
                  <w:noProof/>
                  <w:sz w:val="20"/>
                  <w:szCs w:val="20"/>
                </w:rPr>
                <w:t xml:space="preserve">Aranda, M., &amp; Caldera, J. (2018, Septiembre 15). Gamificar el aula como estrategia para fomentar las habilidades socioemocionales. </w:t>
              </w:r>
              <w:r w:rsidRPr="00DE16C6">
                <w:rPr>
                  <w:i/>
                  <w:iCs/>
                  <w:noProof/>
                  <w:sz w:val="20"/>
                  <w:szCs w:val="20"/>
                </w:rPr>
                <w:t>Educ@rnos, 31</w:t>
              </w:r>
              <w:r w:rsidRPr="00DE16C6">
                <w:rPr>
                  <w:noProof/>
                  <w:sz w:val="20"/>
                  <w:szCs w:val="20"/>
                </w:rPr>
                <w:t>(15), 25-40.</w:t>
              </w:r>
            </w:p>
            <w:p w:rsidR="00DE16C6" w:rsidRPr="00DE16C6" w:rsidRDefault="00DE16C6" w:rsidP="00DE16C6">
              <w:pPr>
                <w:pStyle w:val="Bibliografa"/>
                <w:ind w:left="720" w:hanging="720"/>
                <w:jc w:val="both"/>
                <w:rPr>
                  <w:noProof/>
                  <w:sz w:val="20"/>
                  <w:szCs w:val="20"/>
                </w:rPr>
              </w:pPr>
              <w:r w:rsidRPr="00DE16C6">
                <w:rPr>
                  <w:noProof/>
                  <w:sz w:val="20"/>
                  <w:szCs w:val="20"/>
                </w:rPr>
                <w:t xml:space="preserve">Ardila, V. y. (2019). </w:t>
              </w:r>
              <w:r w:rsidRPr="00DE16C6">
                <w:rPr>
                  <w:i/>
                  <w:iCs/>
                  <w:noProof/>
                  <w:sz w:val="20"/>
                  <w:szCs w:val="20"/>
                </w:rPr>
                <w:t>Estrategia psicoeducativa para la prevención del bullying por homofobia.</w:t>
              </w:r>
              <w:r w:rsidRPr="00DE16C6">
                <w:rPr>
                  <w:noProof/>
                  <w:sz w:val="20"/>
                  <w:szCs w:val="20"/>
                </w:rPr>
                <w:t xml:space="preserve"> Bucaramanga: Universidad Autónoma de Bucaramanga Extensión UNISANGIL. Obtenido de https://repository.unab.edu.co/bitstream/handle/20.500.12749/6950/2019_Anexo1_Estrategia-Educacion%20e%20Inclusion.pdf?sequence=2&amp;isAllowed=y</w:t>
              </w:r>
            </w:p>
            <w:p w:rsidR="00DE16C6" w:rsidRPr="00DE16C6" w:rsidRDefault="00DE16C6" w:rsidP="00DE16C6">
              <w:pPr>
                <w:pStyle w:val="Bibliografa"/>
                <w:ind w:left="720" w:hanging="720"/>
                <w:jc w:val="both"/>
                <w:rPr>
                  <w:noProof/>
                  <w:sz w:val="20"/>
                  <w:szCs w:val="20"/>
                </w:rPr>
              </w:pPr>
              <w:r w:rsidRPr="00DE16C6">
                <w:rPr>
                  <w:noProof/>
                  <w:sz w:val="20"/>
                  <w:szCs w:val="20"/>
                </w:rPr>
                <w:t xml:space="preserve">Ausubel, D. (2002). </w:t>
              </w:r>
              <w:r w:rsidRPr="00DE16C6">
                <w:rPr>
                  <w:i/>
                  <w:iCs/>
                  <w:noProof/>
                  <w:sz w:val="20"/>
                  <w:szCs w:val="20"/>
                </w:rPr>
                <w:t>Adquisición y retención del conocimiento:una perspectiva cognitiva.</w:t>
              </w:r>
              <w:r w:rsidRPr="00DE16C6">
                <w:rPr>
                  <w:noProof/>
                  <w:sz w:val="20"/>
                  <w:szCs w:val="20"/>
                </w:rPr>
                <w:t xml:space="preserve"> Paidós. Obtenido de https://books.google.com.ec/books?id=VufcU8hc5sYC&amp;printsec=frontcover&amp;hl=es&amp;source=gbs_ge_summary_r&amp;cad=0#v=onepage&amp;q&amp;f=false</w:t>
              </w:r>
            </w:p>
            <w:p w:rsidR="00DE16C6" w:rsidRPr="00DE16C6" w:rsidRDefault="00DE16C6" w:rsidP="00DE16C6">
              <w:pPr>
                <w:pStyle w:val="Bibliografa"/>
                <w:ind w:left="720" w:hanging="720"/>
                <w:jc w:val="both"/>
                <w:rPr>
                  <w:noProof/>
                  <w:sz w:val="20"/>
                  <w:szCs w:val="20"/>
                  <w:lang w:val="en-US"/>
                </w:rPr>
              </w:pPr>
              <w:r w:rsidRPr="00DE16C6">
                <w:rPr>
                  <w:noProof/>
                  <w:sz w:val="20"/>
                  <w:szCs w:val="20"/>
                  <w:lang w:val="en-US"/>
                </w:rPr>
                <w:t xml:space="preserve">Brigham, T. (2015). An Introduction to Gamification: Adding Game Elements for Engagement. </w:t>
              </w:r>
              <w:r w:rsidRPr="00DE16C6">
                <w:rPr>
                  <w:i/>
                  <w:iCs/>
                  <w:noProof/>
                  <w:sz w:val="20"/>
                  <w:szCs w:val="20"/>
                  <w:lang w:val="en-US"/>
                </w:rPr>
                <w:t>Servicios de rerefencia médica trimestral, 34</w:t>
              </w:r>
              <w:r w:rsidRPr="00DE16C6">
                <w:rPr>
                  <w:noProof/>
                  <w:sz w:val="20"/>
                  <w:szCs w:val="20"/>
                  <w:lang w:val="en-US"/>
                </w:rPr>
                <w:t>(4), 471-80. doi:10.1080 / 02763869.2015.1082385</w:t>
              </w:r>
            </w:p>
            <w:p w:rsidR="00DE16C6" w:rsidRPr="00DE16C6" w:rsidRDefault="00DE16C6" w:rsidP="00DE16C6">
              <w:pPr>
                <w:pStyle w:val="Bibliografa"/>
                <w:ind w:left="720" w:hanging="720"/>
                <w:jc w:val="both"/>
                <w:rPr>
                  <w:noProof/>
                  <w:sz w:val="20"/>
                  <w:szCs w:val="20"/>
                </w:rPr>
              </w:pPr>
              <w:r w:rsidRPr="00DE16C6">
                <w:rPr>
                  <w:noProof/>
                  <w:sz w:val="20"/>
                  <w:szCs w:val="20"/>
                  <w:lang w:val="en-US"/>
                </w:rPr>
                <w:t xml:space="preserve">Brull, S. y. (2016). Importance of Gamification in Increasing Learning. </w:t>
              </w:r>
              <w:r w:rsidRPr="00DE16C6">
                <w:rPr>
                  <w:i/>
                  <w:iCs/>
                  <w:noProof/>
                  <w:sz w:val="20"/>
                  <w:szCs w:val="20"/>
                </w:rPr>
                <w:t>J Contin Educ Nurs, 47</w:t>
              </w:r>
              <w:r w:rsidRPr="00DE16C6">
                <w:rPr>
                  <w:noProof/>
                  <w:sz w:val="20"/>
                  <w:szCs w:val="20"/>
                </w:rPr>
                <w:t>(8), 372-375. doi:10.3928 / 00220124-20160715-09</w:t>
              </w:r>
            </w:p>
            <w:p w:rsidR="00DE16C6" w:rsidRPr="00DE16C6" w:rsidRDefault="00DE16C6" w:rsidP="00DE16C6">
              <w:pPr>
                <w:pStyle w:val="Bibliografa"/>
                <w:ind w:left="720" w:hanging="720"/>
                <w:jc w:val="both"/>
                <w:rPr>
                  <w:noProof/>
                  <w:sz w:val="20"/>
                  <w:szCs w:val="20"/>
                </w:rPr>
              </w:pPr>
              <w:r w:rsidRPr="00DE16C6">
                <w:rPr>
                  <w:noProof/>
                  <w:sz w:val="20"/>
                  <w:szCs w:val="20"/>
                </w:rPr>
                <w:t xml:space="preserve">Capilla, R. (2016). Habilidades cognitivas y aprendizaje significativo de la adición y sustracción de fracciones comunes. </w:t>
              </w:r>
              <w:r w:rsidRPr="00DE16C6">
                <w:rPr>
                  <w:i/>
                  <w:iCs/>
                  <w:noProof/>
                  <w:sz w:val="20"/>
                  <w:szCs w:val="20"/>
                </w:rPr>
                <w:t xml:space="preserve">Cuadernos de Investigación Educativa, 7 </w:t>
              </w:r>
              <w:r w:rsidRPr="00DE16C6">
                <w:rPr>
                  <w:noProof/>
                  <w:sz w:val="20"/>
                  <w:szCs w:val="20"/>
                </w:rPr>
                <w:t>(2). doi:10.18861/cied.2016.7.2.2610</w:t>
              </w:r>
            </w:p>
            <w:p w:rsidR="00DE16C6" w:rsidRPr="00DE16C6" w:rsidRDefault="00DE16C6" w:rsidP="00DE16C6">
              <w:pPr>
                <w:pStyle w:val="Bibliografa"/>
                <w:ind w:left="720" w:hanging="720"/>
                <w:jc w:val="both"/>
                <w:rPr>
                  <w:noProof/>
                  <w:sz w:val="20"/>
                  <w:szCs w:val="20"/>
                </w:rPr>
              </w:pPr>
              <w:r w:rsidRPr="00DE16C6">
                <w:rPr>
                  <w:noProof/>
                  <w:sz w:val="20"/>
                  <w:szCs w:val="20"/>
                </w:rPr>
                <w:t xml:space="preserve">Cárdenas, D., Rojas, A., &amp; Cuellas, S. y. (2017). Estrategias de estimulación cognitiva para la mejora de la atención en adultos con diagnóstico de discapacidad intelectual. </w:t>
              </w:r>
              <w:r w:rsidRPr="00DE16C6">
                <w:rPr>
                  <w:i/>
                  <w:iCs/>
                  <w:noProof/>
                  <w:sz w:val="20"/>
                  <w:szCs w:val="20"/>
                </w:rPr>
                <w:t>Resultado de investigación, 11</w:t>
              </w:r>
              <w:r w:rsidRPr="00DE16C6">
                <w:rPr>
                  <w:noProof/>
                  <w:sz w:val="20"/>
                  <w:szCs w:val="20"/>
                </w:rPr>
                <w:t>(19), 1-21. Obtenido de https://dialnet.unirioja.es/descarga/articulo/6109868.pdf</w:t>
              </w:r>
            </w:p>
            <w:p w:rsidR="00DE16C6" w:rsidRPr="00DE16C6" w:rsidRDefault="00DE16C6" w:rsidP="00DE16C6">
              <w:pPr>
                <w:pStyle w:val="Bibliografa"/>
                <w:ind w:left="720" w:hanging="720"/>
                <w:jc w:val="both"/>
                <w:rPr>
                  <w:noProof/>
                  <w:sz w:val="20"/>
                  <w:szCs w:val="20"/>
                </w:rPr>
              </w:pPr>
              <w:r w:rsidRPr="00DE16C6">
                <w:rPr>
                  <w:noProof/>
                  <w:sz w:val="20"/>
                  <w:szCs w:val="20"/>
                </w:rPr>
                <w:t xml:space="preserve">Cepeda, Jessica, &amp; Solís, M. (2021). </w:t>
              </w:r>
              <w:r w:rsidRPr="00DE16C6">
                <w:rPr>
                  <w:i/>
                  <w:iCs/>
                  <w:noProof/>
                  <w:sz w:val="20"/>
                  <w:szCs w:val="20"/>
                </w:rPr>
                <w:t>Gamificación en el desarrollo de habilidades cognitivas en los niños de primer año de Educación General Básica del C.E.I. “Dolores Veintimilla de Galindo” en el año lectivo 2019 – 2020.</w:t>
              </w:r>
              <w:r w:rsidRPr="00DE16C6">
                <w:rPr>
                  <w:noProof/>
                  <w:sz w:val="20"/>
                  <w:szCs w:val="20"/>
                </w:rPr>
                <w:t xml:space="preserve"> Riobamba: Universidad Nacional de Chimborazo. Obtenido de http://dspace.unach.edu.ec/bitstream/51000/8233/1/5.-TESIS%20Jessica%20Paulina%20Cepeda%20Asqui-DP-EU-TEI.pdf</w:t>
              </w:r>
            </w:p>
            <w:p w:rsidR="00DE16C6" w:rsidRPr="00DE16C6" w:rsidRDefault="00DE16C6" w:rsidP="00DE16C6">
              <w:pPr>
                <w:pStyle w:val="Bibliografa"/>
                <w:ind w:left="720" w:hanging="720"/>
                <w:jc w:val="both"/>
                <w:rPr>
                  <w:noProof/>
                  <w:sz w:val="20"/>
                  <w:szCs w:val="20"/>
                </w:rPr>
              </w:pPr>
              <w:r w:rsidRPr="00DE16C6">
                <w:rPr>
                  <w:noProof/>
                  <w:sz w:val="20"/>
                  <w:szCs w:val="20"/>
                </w:rPr>
                <w:t xml:space="preserve">Cheng, V. (2020). Recomendaciones para implementar la gamificación para la salud mental y el bienestar. </w:t>
              </w:r>
              <w:r w:rsidRPr="00DE16C6">
                <w:rPr>
                  <w:i/>
                  <w:iCs/>
                  <w:noProof/>
                  <w:sz w:val="20"/>
                  <w:szCs w:val="20"/>
                </w:rPr>
                <w:t>Fronteras en psicología vol. 11 586379.7 de diciembre de 2020, doi: 10.3389 / fpsyg.2020.586379, 11</w:t>
              </w:r>
              <w:r w:rsidRPr="00DE16C6">
                <w:rPr>
                  <w:noProof/>
                  <w:sz w:val="20"/>
                  <w:szCs w:val="20"/>
                </w:rPr>
                <w:t>, 586379. doi:10.3389 / fpsyg.2020.586379</w:t>
              </w:r>
            </w:p>
            <w:p w:rsidR="00DE16C6" w:rsidRPr="00DE16C6" w:rsidRDefault="00DE16C6" w:rsidP="00DE16C6">
              <w:pPr>
                <w:pStyle w:val="Bibliografa"/>
                <w:ind w:left="720" w:hanging="720"/>
                <w:jc w:val="both"/>
                <w:rPr>
                  <w:noProof/>
                  <w:sz w:val="20"/>
                  <w:szCs w:val="20"/>
                </w:rPr>
              </w:pPr>
              <w:r w:rsidRPr="00DE16C6">
                <w:rPr>
                  <w:noProof/>
                  <w:sz w:val="20"/>
                  <w:szCs w:val="20"/>
                </w:rPr>
                <w:t xml:space="preserve">DRAE. (22 de Marzo de 2022). </w:t>
              </w:r>
              <w:r w:rsidRPr="00DE16C6">
                <w:rPr>
                  <w:i/>
                  <w:iCs/>
                  <w:noProof/>
                  <w:sz w:val="20"/>
                  <w:szCs w:val="20"/>
                </w:rPr>
                <w:t>Cooperación</w:t>
              </w:r>
              <w:r w:rsidRPr="00DE16C6">
                <w:rPr>
                  <w:noProof/>
                  <w:sz w:val="20"/>
                  <w:szCs w:val="20"/>
                </w:rPr>
                <w:t>. Obtenido de https://www.google.com/search?q=RAE+cooperacion&amp;rlz=1C1ALOY_esEC981EC981&amp;oq=RAE+cooperacion&amp;aqs=chrome..69i57.6425j0j7&amp;sourceid=chrome&amp;ie=UTF-8</w:t>
              </w:r>
            </w:p>
            <w:p w:rsidR="00DE16C6" w:rsidRPr="00DE16C6" w:rsidRDefault="00DE16C6" w:rsidP="00DE16C6">
              <w:pPr>
                <w:pStyle w:val="Bibliografa"/>
                <w:ind w:left="720" w:hanging="720"/>
                <w:jc w:val="both"/>
                <w:rPr>
                  <w:noProof/>
                  <w:sz w:val="20"/>
                  <w:szCs w:val="20"/>
                </w:rPr>
              </w:pPr>
              <w:r w:rsidRPr="00DE16C6">
                <w:rPr>
                  <w:noProof/>
                  <w:sz w:val="20"/>
                  <w:szCs w:val="20"/>
                </w:rPr>
                <w:lastRenderedPageBreak/>
                <w:t xml:space="preserve">Frías, M. H. (2017). Las habilidades cognitivas en el profesional de la Información desde la perspectiva de proyectos y asociaciones internacionales. </w:t>
              </w:r>
              <w:r w:rsidRPr="00DE16C6">
                <w:rPr>
                  <w:i/>
                  <w:iCs/>
                  <w:noProof/>
                  <w:sz w:val="20"/>
                  <w:szCs w:val="20"/>
                </w:rPr>
                <w:t>Investigación biotecnológica, 31</w:t>
              </w:r>
              <w:r w:rsidRPr="00DE16C6">
                <w:rPr>
                  <w:noProof/>
                  <w:sz w:val="20"/>
                  <w:szCs w:val="20"/>
                </w:rPr>
                <w:t>(71), 201-219. Obtenido de http://www.scielo.org.mx/pdf/ib/v31n71/2448-8321-ib-31-71-00201.pdf</w:t>
              </w:r>
            </w:p>
            <w:p w:rsidR="00DE16C6" w:rsidRPr="00DE16C6" w:rsidRDefault="00DE16C6" w:rsidP="00DE16C6">
              <w:pPr>
                <w:pStyle w:val="Bibliografa"/>
                <w:ind w:left="720" w:hanging="720"/>
                <w:jc w:val="both"/>
                <w:rPr>
                  <w:noProof/>
                  <w:sz w:val="20"/>
                  <w:szCs w:val="20"/>
                </w:rPr>
              </w:pPr>
              <w:r w:rsidRPr="00DE16C6">
                <w:rPr>
                  <w:noProof/>
                  <w:sz w:val="20"/>
                  <w:szCs w:val="20"/>
                </w:rPr>
                <w:t xml:space="preserve">Fuentes, M., del Mar, M., Carrasco, M., Jiménez, A., Martinez, A., Soler, A., &amp; Vaello, T. (2016). El aprendizaje basado en juegos: experiencias docentes en la aplicación de la plataforma virtual" Kahoot". </w:t>
              </w:r>
              <w:r w:rsidRPr="00DE16C6">
                <w:rPr>
                  <w:i/>
                  <w:iCs/>
                  <w:noProof/>
                  <w:sz w:val="20"/>
                  <w:szCs w:val="20"/>
                </w:rPr>
                <w:t>Repositorio Institucional de la Universidad de Alicante</w:t>
              </w:r>
              <w:r w:rsidRPr="00DE16C6">
                <w:rPr>
                  <w:noProof/>
                  <w:sz w:val="20"/>
                  <w:szCs w:val="20"/>
                </w:rPr>
                <w:t>, 1239-54.</w:t>
              </w:r>
            </w:p>
            <w:p w:rsidR="00DE16C6" w:rsidRPr="00DE16C6" w:rsidRDefault="00DE16C6" w:rsidP="00DE16C6">
              <w:pPr>
                <w:pStyle w:val="Bibliografa"/>
                <w:ind w:left="720" w:hanging="720"/>
                <w:jc w:val="both"/>
                <w:rPr>
                  <w:noProof/>
                  <w:sz w:val="20"/>
                  <w:szCs w:val="20"/>
                </w:rPr>
              </w:pPr>
              <w:r w:rsidRPr="00DE16C6">
                <w:rPr>
                  <w:noProof/>
                  <w:sz w:val="20"/>
                  <w:szCs w:val="20"/>
                </w:rPr>
                <w:t xml:space="preserve">García, M., &amp; Mogollón, M. (2020). Gamificación con procesos cognitivos para mejorar los niveles de comprensión lectora en estudiantes de octavo grado. </w:t>
              </w:r>
              <w:r w:rsidRPr="00DE16C6">
                <w:rPr>
                  <w:i/>
                  <w:iCs/>
                  <w:noProof/>
                  <w:sz w:val="20"/>
                  <w:szCs w:val="20"/>
                </w:rPr>
                <w:t>Revista Científica Multidisciplinaria, 5</w:t>
              </w:r>
              <w:r w:rsidRPr="00DE16C6">
                <w:rPr>
                  <w:noProof/>
                  <w:sz w:val="20"/>
                  <w:szCs w:val="20"/>
                </w:rPr>
                <w:t>(1), 127-142. Retrieved from https://latinjournal.org/index.php/ipsa/article/download/997/762</w:t>
              </w:r>
            </w:p>
            <w:p w:rsidR="00DE16C6" w:rsidRPr="00DE16C6" w:rsidRDefault="00DE16C6" w:rsidP="00DE16C6">
              <w:pPr>
                <w:pStyle w:val="Bibliografa"/>
                <w:ind w:left="720" w:hanging="720"/>
                <w:jc w:val="both"/>
                <w:rPr>
                  <w:noProof/>
                  <w:sz w:val="20"/>
                  <w:szCs w:val="20"/>
                </w:rPr>
              </w:pPr>
              <w:r w:rsidRPr="00DE16C6">
                <w:rPr>
                  <w:noProof/>
                  <w:sz w:val="20"/>
                  <w:szCs w:val="20"/>
                </w:rPr>
                <w:t xml:space="preserve">Guilford, J. (1967). </w:t>
              </w:r>
              <w:r w:rsidRPr="00DE16C6">
                <w:rPr>
                  <w:i/>
                  <w:iCs/>
                  <w:noProof/>
                  <w:sz w:val="20"/>
                  <w:szCs w:val="20"/>
                </w:rPr>
                <w:t>Un repaso a la vida de este psicólogo, conocido por sus investigaciones sobre la creatividad.</w:t>
              </w:r>
              <w:r w:rsidRPr="00DE16C6">
                <w:rPr>
                  <w:noProof/>
                  <w:sz w:val="20"/>
                  <w:szCs w:val="20"/>
                </w:rPr>
                <w:t xml:space="preserve"> Universidad de Monterrey. Obtenido de https://psicologiaymente.com/biografias/joy-paul-guilford</w:t>
              </w:r>
            </w:p>
            <w:p w:rsidR="00DE16C6" w:rsidRPr="00DE16C6" w:rsidRDefault="00DE16C6" w:rsidP="00DE16C6">
              <w:pPr>
                <w:pStyle w:val="Bibliografa"/>
                <w:ind w:left="720" w:hanging="720"/>
                <w:jc w:val="both"/>
                <w:rPr>
                  <w:noProof/>
                  <w:sz w:val="20"/>
                  <w:szCs w:val="20"/>
                </w:rPr>
              </w:pPr>
              <w:r w:rsidRPr="00DE16C6">
                <w:rPr>
                  <w:noProof/>
                  <w:sz w:val="20"/>
                  <w:szCs w:val="20"/>
                </w:rPr>
                <w:t xml:space="preserve">Holguín, F., Holguín, E., &amp; García, N. (2020). Gamificación en la enseñanza de las Matemáticas: Una revisión sistemática. </w:t>
              </w:r>
              <w:r w:rsidRPr="00DE16C6">
                <w:rPr>
                  <w:i/>
                  <w:iCs/>
                  <w:noProof/>
                  <w:sz w:val="20"/>
                  <w:szCs w:val="20"/>
                </w:rPr>
                <w:t>ELOS: Revista de Estudios Interdisciplinarios en Ciencias Sociales, 22</w:t>
              </w:r>
              <w:r w:rsidRPr="00DE16C6">
                <w:rPr>
                  <w:noProof/>
                  <w:sz w:val="20"/>
                  <w:szCs w:val="20"/>
                </w:rPr>
                <w:t>(1), 62-75. Obtenido de https://dialnet.unirioja.es/descarga/articulo/7200001.pdf</w:t>
              </w:r>
            </w:p>
            <w:p w:rsidR="00DE16C6" w:rsidRPr="00DE16C6" w:rsidRDefault="00DE16C6" w:rsidP="00DE16C6">
              <w:pPr>
                <w:pStyle w:val="Bibliografa"/>
                <w:ind w:left="720" w:hanging="720"/>
                <w:jc w:val="both"/>
                <w:rPr>
                  <w:noProof/>
                  <w:sz w:val="20"/>
                  <w:szCs w:val="20"/>
                </w:rPr>
              </w:pPr>
              <w:r w:rsidRPr="00DE16C6">
                <w:rPr>
                  <w:noProof/>
                  <w:sz w:val="20"/>
                  <w:szCs w:val="20"/>
                </w:rPr>
                <w:t xml:space="preserve">Kostantze, E., Batista, J., &amp; Lugo, M. (2016). Perspectivas epistemológicas de los estilos cognitivos y su incidencia en la enseñanza de la comunicación gráfica. </w:t>
              </w:r>
              <w:r w:rsidRPr="00DE16C6">
                <w:rPr>
                  <w:i/>
                  <w:iCs/>
                  <w:noProof/>
                  <w:sz w:val="20"/>
                  <w:szCs w:val="20"/>
                </w:rPr>
                <w:t>REDHECS, 21</w:t>
              </w:r>
              <w:r w:rsidRPr="00DE16C6">
                <w:rPr>
                  <w:noProof/>
                  <w:sz w:val="20"/>
                  <w:szCs w:val="20"/>
                </w:rPr>
                <w:t>(2), 1-76. Obtenido de http://www.scielo.edu.uy/scielo.php?script=sci_arttext&amp;pid=S1688-93042016000200004</w:t>
              </w:r>
            </w:p>
            <w:p w:rsidR="00DE16C6" w:rsidRPr="00DE16C6" w:rsidRDefault="00DE16C6" w:rsidP="00DE16C6">
              <w:pPr>
                <w:pStyle w:val="Bibliografa"/>
                <w:ind w:left="720" w:hanging="720"/>
                <w:jc w:val="both"/>
                <w:rPr>
                  <w:noProof/>
                  <w:sz w:val="20"/>
                  <w:szCs w:val="20"/>
                </w:rPr>
              </w:pPr>
              <w:r w:rsidRPr="00DE16C6">
                <w:rPr>
                  <w:noProof/>
                  <w:sz w:val="20"/>
                  <w:szCs w:val="20"/>
                </w:rPr>
                <w:t xml:space="preserve">Liberio, X. (2019). </w:t>
              </w:r>
              <w:r w:rsidRPr="00DE16C6">
                <w:rPr>
                  <w:i/>
                  <w:iCs/>
                  <w:noProof/>
                  <w:sz w:val="20"/>
                  <w:szCs w:val="20"/>
                </w:rPr>
                <w:t>Las técnicas de gamificación y su incidencia en el desarrollo de habilidades cognitivas en los niños y niñas de 4 a 5 años en el nivel de educación inicial de la escuela de educación básica "Isabel Herrera de Velázquez, durante el periodo lectivo 2019-202.</w:t>
              </w:r>
              <w:r w:rsidRPr="00DE16C6">
                <w:rPr>
                  <w:noProof/>
                  <w:sz w:val="20"/>
                  <w:szCs w:val="20"/>
                </w:rPr>
                <w:t xml:space="preserve"> Guaranda-Ecuador: Universidad Estatal de Bolívar. Obtenido de https://dspace.ueb.edu.ec/bitstream/123456789/3279/1/TESIS%20XIOMARA%201.pdf</w:t>
              </w:r>
            </w:p>
            <w:p w:rsidR="00DE16C6" w:rsidRPr="00DE16C6" w:rsidRDefault="00DE16C6" w:rsidP="00DE16C6">
              <w:pPr>
                <w:pStyle w:val="Bibliografa"/>
                <w:ind w:left="720" w:hanging="720"/>
                <w:jc w:val="both"/>
                <w:rPr>
                  <w:noProof/>
                  <w:sz w:val="20"/>
                  <w:szCs w:val="20"/>
                </w:rPr>
              </w:pPr>
              <w:r w:rsidRPr="00DE16C6">
                <w:rPr>
                  <w:noProof/>
                  <w:sz w:val="20"/>
                  <w:szCs w:val="20"/>
                </w:rPr>
                <w:t xml:space="preserve">López, E. (2016). En torno al concepto de competencia:un análisis de fuentes. </w:t>
              </w:r>
              <w:r w:rsidRPr="00DE16C6">
                <w:rPr>
                  <w:i/>
                  <w:iCs/>
                  <w:noProof/>
                  <w:sz w:val="20"/>
                  <w:szCs w:val="20"/>
                </w:rPr>
                <w:t>Profesorado. Revista de Currículum y Formación de Profesorado, 20</w:t>
              </w:r>
              <w:r w:rsidRPr="00DE16C6">
                <w:rPr>
                  <w:noProof/>
                  <w:sz w:val="20"/>
                  <w:szCs w:val="20"/>
                </w:rPr>
                <w:t>(1), 311-322. Obtenido de https://www.redalyc.org/pdf/567/56745576016.pdf</w:t>
              </w:r>
            </w:p>
            <w:p w:rsidR="00DE16C6" w:rsidRPr="00DE16C6" w:rsidRDefault="00DE16C6" w:rsidP="00DE16C6">
              <w:pPr>
                <w:pStyle w:val="Bibliografa"/>
                <w:ind w:left="720" w:hanging="720"/>
                <w:jc w:val="both"/>
                <w:rPr>
                  <w:noProof/>
                  <w:sz w:val="20"/>
                  <w:szCs w:val="20"/>
                </w:rPr>
              </w:pPr>
              <w:r w:rsidRPr="00DE16C6">
                <w:rPr>
                  <w:noProof/>
                  <w:sz w:val="20"/>
                  <w:szCs w:val="20"/>
                  <w:lang w:val="en-US"/>
                </w:rPr>
                <w:t xml:space="preserve">Newborg, J., &amp; Stock, J. y. (2011). </w:t>
              </w:r>
              <w:r w:rsidRPr="00DE16C6">
                <w:rPr>
                  <w:i/>
                  <w:iCs/>
                  <w:noProof/>
                  <w:sz w:val="20"/>
                  <w:szCs w:val="20"/>
                </w:rPr>
                <w:t>Inventario de Desarrollo de Battelle. Manual de aplicación.</w:t>
              </w:r>
              <w:r w:rsidRPr="00DE16C6">
                <w:rPr>
                  <w:noProof/>
                  <w:sz w:val="20"/>
                  <w:szCs w:val="20"/>
                </w:rPr>
                <w:t xml:space="preserve"> TEA. Retrieved from https://web.teaediciones.com/ejemplos/battelle-manual-extracto.pdf</w:t>
              </w:r>
            </w:p>
            <w:p w:rsidR="00DE16C6" w:rsidRPr="00DE16C6" w:rsidRDefault="00DE16C6" w:rsidP="00DE16C6">
              <w:pPr>
                <w:pStyle w:val="Bibliografa"/>
                <w:ind w:left="720" w:hanging="720"/>
                <w:jc w:val="both"/>
                <w:rPr>
                  <w:noProof/>
                  <w:sz w:val="20"/>
                  <w:szCs w:val="20"/>
                </w:rPr>
              </w:pPr>
              <w:r w:rsidRPr="00DE16C6">
                <w:rPr>
                  <w:noProof/>
                  <w:sz w:val="20"/>
                  <w:szCs w:val="20"/>
                </w:rPr>
                <w:t xml:space="preserve">Ortiz, A., Jordán, J., &amp; Agredal, M. (2018). Gamificación en educación: una panorámica sobre el estado de la cuestión. </w:t>
              </w:r>
              <w:r w:rsidRPr="00DE16C6">
                <w:rPr>
                  <w:i/>
                  <w:iCs/>
                  <w:noProof/>
                  <w:sz w:val="20"/>
                  <w:szCs w:val="20"/>
                </w:rPr>
                <w:t>Educ. Pesqui, 44</w:t>
              </w:r>
              <w:r w:rsidRPr="00DE16C6">
                <w:rPr>
                  <w:noProof/>
                  <w:sz w:val="20"/>
                  <w:szCs w:val="20"/>
                </w:rPr>
                <w:t>(e173773), 1-17. Obtenido de http://dx.doi.org/10.1590/S1678-4634201844173773</w:t>
              </w:r>
            </w:p>
            <w:p w:rsidR="00DE16C6" w:rsidRPr="00DE16C6" w:rsidRDefault="00DE16C6" w:rsidP="00DE16C6">
              <w:pPr>
                <w:pStyle w:val="Bibliografa"/>
                <w:ind w:left="720" w:hanging="720"/>
                <w:jc w:val="both"/>
                <w:rPr>
                  <w:noProof/>
                  <w:sz w:val="20"/>
                  <w:szCs w:val="20"/>
                </w:rPr>
              </w:pPr>
              <w:r w:rsidRPr="00DE16C6">
                <w:rPr>
                  <w:noProof/>
                  <w:sz w:val="20"/>
                  <w:szCs w:val="20"/>
                </w:rPr>
                <w:t xml:space="preserve">Parente, D. (2016). Gamificacion en la educación. </w:t>
              </w:r>
              <w:r w:rsidRPr="00DE16C6">
                <w:rPr>
                  <w:i/>
                  <w:iCs/>
                  <w:noProof/>
                  <w:sz w:val="20"/>
                  <w:szCs w:val="20"/>
                </w:rPr>
                <w:t>Gamificación en aulas universitarias</w:t>
              </w:r>
              <w:r w:rsidRPr="00DE16C6">
                <w:rPr>
                  <w:noProof/>
                  <w:sz w:val="20"/>
                  <w:szCs w:val="20"/>
                </w:rPr>
                <w:t>, 11-129.</w:t>
              </w:r>
            </w:p>
            <w:p w:rsidR="00DE16C6" w:rsidRPr="00DE16C6" w:rsidRDefault="00DE16C6" w:rsidP="00DE16C6">
              <w:pPr>
                <w:pStyle w:val="Bibliografa"/>
                <w:ind w:left="720" w:hanging="720"/>
                <w:jc w:val="both"/>
                <w:rPr>
                  <w:noProof/>
                  <w:sz w:val="20"/>
                  <w:szCs w:val="20"/>
                  <w:lang w:val="en-US"/>
                </w:rPr>
              </w:pPr>
              <w:r w:rsidRPr="00DE16C6">
                <w:rPr>
                  <w:noProof/>
                  <w:sz w:val="20"/>
                  <w:szCs w:val="20"/>
                </w:rPr>
                <w:t xml:space="preserve">Pedroza, B., González, J., Guerrero, J., Collazos, C., &amp; Lecona, A. (2018). Propuesta de un Tutor Cognitivo semi-automatizado con gamificación einterfaces tangibles para álgebra. </w:t>
              </w:r>
              <w:r w:rsidRPr="00DE16C6">
                <w:rPr>
                  <w:i/>
                  <w:iCs/>
                  <w:noProof/>
                  <w:sz w:val="20"/>
                  <w:szCs w:val="20"/>
                  <w:lang w:val="en-US"/>
                </w:rPr>
                <w:t>UAJournals, 7</w:t>
              </w:r>
              <w:r w:rsidRPr="00DE16C6">
                <w:rPr>
                  <w:noProof/>
                  <w:sz w:val="20"/>
                  <w:szCs w:val="20"/>
                  <w:lang w:val="en-US"/>
                </w:rPr>
                <w:t>(1), 63-80. Retrieved from http://scholar.googleusercontent.com/scholar?q=cache:QffclCjhvawJ:scholar.google.com/+la+gamificacion+y+cognicion&amp;hl=es&amp;as_sdt=0,5&amp;as_vis=1</w:t>
              </w:r>
            </w:p>
            <w:p w:rsidR="00DE16C6" w:rsidRPr="00DE16C6" w:rsidRDefault="00DE16C6" w:rsidP="00DE16C6">
              <w:pPr>
                <w:pStyle w:val="Bibliografa"/>
                <w:ind w:left="720" w:hanging="720"/>
                <w:jc w:val="both"/>
                <w:rPr>
                  <w:noProof/>
                  <w:sz w:val="20"/>
                  <w:szCs w:val="20"/>
                </w:rPr>
              </w:pPr>
              <w:r w:rsidRPr="00DE16C6">
                <w:rPr>
                  <w:noProof/>
                  <w:sz w:val="20"/>
                  <w:szCs w:val="20"/>
                </w:rPr>
                <w:t xml:space="preserve">Sión, S., &amp; Espinoza, M. y. (2017). Las tecnologías de información y comunicación como herramienta cognitiva para la construcción de aprendizajes significativos. </w:t>
              </w:r>
              <w:r w:rsidRPr="00DE16C6">
                <w:rPr>
                  <w:i/>
                  <w:iCs/>
                  <w:noProof/>
                  <w:sz w:val="20"/>
                  <w:szCs w:val="20"/>
                </w:rPr>
                <w:t>Revista Electrónica Formación y Calidad Educativa (REFCalE), 5</w:t>
              </w:r>
              <w:r w:rsidRPr="00DE16C6">
                <w:rPr>
                  <w:noProof/>
                  <w:sz w:val="20"/>
                  <w:szCs w:val="20"/>
                </w:rPr>
                <w:t>(2), publicaci´ñon electrónica. Obtenido de https://redib.org/Record/oai_articulo1275321-las-tecnolog%C3%ADas-de-informaci%C3%B3n-y-comunicaci%C3%B3n-como-herramienta-cognitiva-para-la-construcci%C3%B3n-de-aprendizajes-significativos</w:t>
              </w:r>
            </w:p>
            <w:p w:rsidR="00DE16C6" w:rsidRPr="00DE16C6" w:rsidRDefault="00DE16C6" w:rsidP="00DE16C6">
              <w:pPr>
                <w:pStyle w:val="Bibliografa"/>
                <w:ind w:left="720" w:hanging="720"/>
                <w:jc w:val="both"/>
                <w:rPr>
                  <w:noProof/>
                  <w:sz w:val="20"/>
                  <w:szCs w:val="20"/>
                </w:rPr>
              </w:pPr>
              <w:r w:rsidRPr="00DE16C6">
                <w:rPr>
                  <w:noProof/>
                  <w:sz w:val="20"/>
                  <w:szCs w:val="20"/>
                </w:rPr>
                <w:t xml:space="preserve">Universidad Naval. (2019). </w:t>
              </w:r>
              <w:r w:rsidRPr="00DE16C6">
                <w:rPr>
                  <w:i/>
                  <w:iCs/>
                  <w:noProof/>
                  <w:sz w:val="20"/>
                  <w:szCs w:val="20"/>
                </w:rPr>
                <w:t>Metodología de la investigación.</w:t>
              </w:r>
              <w:r w:rsidRPr="00DE16C6">
                <w:rPr>
                  <w:noProof/>
                  <w:sz w:val="20"/>
                  <w:szCs w:val="20"/>
                </w:rPr>
                <w:t xml:space="preserve"> Mexico: Universidad Naval. Retrieved from https://www.gob.mx/cms/uploads/attachment/file/133491/METODOLOGIA_DE_INVESTIGACION.pdf</w:t>
              </w:r>
            </w:p>
            <w:p w:rsidR="00DE16C6" w:rsidRPr="00DE16C6" w:rsidRDefault="00DE16C6" w:rsidP="00DE16C6">
              <w:pPr>
                <w:pStyle w:val="Bibliografa"/>
                <w:ind w:left="720" w:hanging="720"/>
                <w:jc w:val="both"/>
                <w:rPr>
                  <w:noProof/>
                  <w:sz w:val="20"/>
                  <w:szCs w:val="20"/>
                </w:rPr>
              </w:pPr>
              <w:r w:rsidRPr="00DE16C6">
                <w:rPr>
                  <w:noProof/>
                  <w:sz w:val="20"/>
                  <w:szCs w:val="20"/>
                  <w:lang w:val="en-US"/>
                </w:rPr>
                <w:t xml:space="preserve">Vygotsky, L. (1978). </w:t>
              </w:r>
              <w:r w:rsidRPr="00DE16C6">
                <w:rPr>
                  <w:i/>
                  <w:iCs/>
                  <w:noProof/>
                  <w:sz w:val="20"/>
                  <w:szCs w:val="20"/>
                  <w:lang w:val="en-US"/>
                </w:rPr>
                <w:t>Mind in society: The development of higher psychological processes.</w:t>
              </w:r>
              <w:r w:rsidRPr="00DE16C6">
                <w:rPr>
                  <w:noProof/>
                  <w:sz w:val="20"/>
                  <w:szCs w:val="20"/>
                  <w:lang w:val="en-US"/>
                </w:rPr>
                <w:t xml:space="preserve"> </w:t>
              </w:r>
              <w:r w:rsidRPr="00DE16C6">
                <w:rPr>
                  <w:noProof/>
                  <w:sz w:val="20"/>
                  <w:szCs w:val="20"/>
                </w:rPr>
                <w:t>Cambridge: Harvard University Press.</w:t>
              </w:r>
            </w:p>
            <w:p w:rsidR="00881561" w:rsidRDefault="00881561" w:rsidP="006F51F4">
              <w:pPr>
                <w:jc w:val="both"/>
              </w:pPr>
              <w:r w:rsidRPr="00DE16C6">
                <w:rPr>
                  <w:b/>
                  <w:bCs/>
                  <w:sz w:val="20"/>
                  <w:szCs w:val="20"/>
                </w:rPr>
                <w:fldChar w:fldCharType="end"/>
              </w:r>
            </w:p>
          </w:sdtContent>
        </w:sdt>
      </w:sdtContent>
    </w:sdt>
    <w:p w:rsidR="00425F8E" w:rsidRPr="00DD7389" w:rsidRDefault="00425F8E" w:rsidP="005F0006">
      <w:pPr>
        <w:spacing w:after="120"/>
        <w:ind w:hanging="709"/>
        <w:jc w:val="both"/>
        <w:rPr>
          <w:rFonts w:ascii="Verdana" w:hAnsi="Verdana" w:cs="Arial"/>
        </w:rPr>
      </w:pPr>
    </w:p>
    <w:sectPr w:rsidR="00425F8E" w:rsidRPr="00DD7389" w:rsidSect="00FF7C55">
      <w:headerReference w:type="even" r:id="rId26"/>
      <w:headerReference w:type="default" r:id="rId27"/>
      <w:footerReference w:type="even" r:id="rId28"/>
      <w:footerReference w:type="default" r:id="rId29"/>
      <w:pgSz w:w="12242" w:h="15842" w:code="1"/>
      <w:pgMar w:top="1418" w:right="851" w:bottom="1418" w:left="1418" w:header="709" w:footer="709" w:gutter="567"/>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0852" w:rsidRDefault="00AB0852">
      <w:r>
        <w:separator/>
      </w:r>
    </w:p>
  </w:endnote>
  <w:endnote w:type="continuationSeparator" w:id="0">
    <w:p w:rsidR="00AB0852" w:rsidRDefault="00AB08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576"/>
      <w:gridCol w:w="8830"/>
    </w:tblGrid>
    <w:tr w:rsidR="00123C45" w:rsidTr="007513C3">
      <w:tc>
        <w:tcPr>
          <w:tcW w:w="306" w:type="pct"/>
          <w:tcBorders>
            <w:top w:val="single" w:sz="4" w:space="0" w:color="943634"/>
          </w:tcBorders>
          <w:shd w:val="clear" w:color="auto" w:fill="auto"/>
        </w:tcPr>
        <w:p w:rsidR="00123C45" w:rsidRPr="007513C3" w:rsidRDefault="00123C45" w:rsidP="001C4276">
          <w:pPr>
            <w:pStyle w:val="Piedepgina"/>
            <w:jc w:val="right"/>
            <w:rPr>
              <w:b/>
              <w:color w:val="000000"/>
            </w:rPr>
          </w:pPr>
          <w:r w:rsidRPr="007513C3">
            <w:rPr>
              <w:b/>
              <w:color w:val="000000"/>
            </w:rPr>
            <w:fldChar w:fldCharType="begin"/>
          </w:r>
          <w:r w:rsidRPr="007513C3">
            <w:rPr>
              <w:b/>
              <w:color w:val="000000"/>
            </w:rPr>
            <w:instrText xml:space="preserve"> PAGE   \* MERGEFORMAT </w:instrText>
          </w:r>
          <w:r w:rsidRPr="007513C3">
            <w:rPr>
              <w:b/>
              <w:color w:val="000000"/>
            </w:rPr>
            <w:fldChar w:fldCharType="separate"/>
          </w:r>
          <w:r w:rsidR="007F2D06">
            <w:rPr>
              <w:b/>
              <w:noProof/>
              <w:color w:val="000000"/>
            </w:rPr>
            <w:t>2</w:t>
          </w:r>
          <w:r w:rsidRPr="007513C3">
            <w:rPr>
              <w:b/>
              <w:color w:val="000000"/>
            </w:rPr>
            <w:fldChar w:fldCharType="end"/>
          </w:r>
        </w:p>
      </w:tc>
      <w:tc>
        <w:tcPr>
          <w:tcW w:w="4694" w:type="pct"/>
          <w:tcBorders>
            <w:top w:val="single" w:sz="4" w:space="0" w:color="auto"/>
          </w:tcBorders>
        </w:tcPr>
        <w:p w:rsidR="00123C45" w:rsidRPr="00A20C40" w:rsidRDefault="00123C45" w:rsidP="008E20C3">
          <w:pPr>
            <w:pStyle w:val="Piedepgina"/>
            <w:rPr>
              <w:sz w:val="20"/>
              <w:szCs w:val="20"/>
            </w:rPr>
          </w:pPr>
          <w:r w:rsidRPr="006B52F5">
            <w:rPr>
              <w:sz w:val="20"/>
              <w:szCs w:val="20"/>
            </w:rPr>
            <w:t xml:space="preserve"> </w:t>
          </w:r>
          <w:r w:rsidRPr="00A20C40">
            <w:rPr>
              <w:sz w:val="20"/>
              <w:szCs w:val="20"/>
            </w:rPr>
            <w:t>R</w:t>
          </w:r>
          <w:r>
            <w:rPr>
              <w:sz w:val="20"/>
              <w:szCs w:val="20"/>
            </w:rPr>
            <w:t xml:space="preserve">EFCalE. </w:t>
          </w:r>
          <w:r w:rsidRPr="00A20C40">
            <w:rPr>
              <w:sz w:val="20"/>
              <w:szCs w:val="20"/>
            </w:rPr>
            <w:t xml:space="preserve">Publicación </w:t>
          </w:r>
          <w:r>
            <w:rPr>
              <w:sz w:val="20"/>
              <w:szCs w:val="20"/>
            </w:rPr>
            <w:t>arbitrada cuatri</w:t>
          </w:r>
          <w:r w:rsidR="008E20C3">
            <w:rPr>
              <w:sz w:val="20"/>
              <w:szCs w:val="20"/>
            </w:rPr>
            <w:t>mestral. Vol. 10, Año 2022, No. 1</w:t>
          </w:r>
          <w:r>
            <w:rPr>
              <w:sz w:val="20"/>
              <w:szCs w:val="20"/>
            </w:rPr>
            <w:t xml:space="preserve"> (</w:t>
          </w:r>
          <w:r w:rsidR="008E20C3">
            <w:rPr>
              <w:sz w:val="20"/>
              <w:szCs w:val="20"/>
            </w:rPr>
            <w:t>Enero-Abril</w:t>
          </w:r>
          <w:r>
            <w:rPr>
              <w:sz w:val="20"/>
              <w:szCs w:val="20"/>
            </w:rPr>
            <w:t xml:space="preserve">) </w:t>
          </w:r>
        </w:p>
      </w:tc>
    </w:tr>
  </w:tbl>
  <w:p w:rsidR="00123C45" w:rsidRDefault="00123C45" w:rsidP="001C427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8830"/>
      <w:gridCol w:w="576"/>
    </w:tblGrid>
    <w:tr w:rsidR="00123C45" w:rsidRPr="002C2BCA" w:rsidTr="007513C3">
      <w:tc>
        <w:tcPr>
          <w:tcW w:w="4694" w:type="pct"/>
          <w:tcBorders>
            <w:top w:val="single" w:sz="4" w:space="0" w:color="000000"/>
          </w:tcBorders>
        </w:tcPr>
        <w:p w:rsidR="00123C45" w:rsidRPr="00A20C40" w:rsidRDefault="00123C45" w:rsidP="00F2714C">
          <w:pPr>
            <w:pStyle w:val="Piedepgina"/>
            <w:rPr>
              <w:sz w:val="20"/>
              <w:szCs w:val="20"/>
            </w:rPr>
          </w:pPr>
          <w:r w:rsidRPr="007513C3">
            <w:rPr>
              <w:sz w:val="20"/>
            </w:rPr>
            <w:t xml:space="preserve">© Vicerrectorado Académico de la Universidad Laica </w:t>
          </w:r>
          <w:r w:rsidRPr="007513C3">
            <w:rPr>
              <w:i/>
              <w:sz w:val="20"/>
            </w:rPr>
            <w:t xml:space="preserve">Eloy Alfaro </w:t>
          </w:r>
          <w:r w:rsidRPr="007513C3">
            <w:rPr>
              <w:sz w:val="20"/>
            </w:rPr>
            <w:t>de Manabí, Ecuador.</w:t>
          </w:r>
        </w:p>
      </w:tc>
      <w:tc>
        <w:tcPr>
          <w:tcW w:w="306" w:type="pct"/>
          <w:tcBorders>
            <w:top w:val="single" w:sz="4" w:space="0" w:color="C0504D"/>
          </w:tcBorders>
          <w:shd w:val="clear" w:color="auto" w:fill="auto"/>
        </w:tcPr>
        <w:p w:rsidR="00123C45" w:rsidRPr="007513C3" w:rsidRDefault="00123C45" w:rsidP="001C4276">
          <w:pPr>
            <w:pStyle w:val="Encabezado"/>
            <w:jc w:val="right"/>
            <w:rPr>
              <w:b/>
              <w:color w:val="000000"/>
              <w:szCs w:val="20"/>
            </w:rPr>
          </w:pPr>
          <w:r w:rsidRPr="007513C3">
            <w:rPr>
              <w:b/>
              <w:color w:val="000000"/>
              <w:szCs w:val="20"/>
            </w:rPr>
            <w:fldChar w:fldCharType="begin"/>
          </w:r>
          <w:r w:rsidRPr="007513C3">
            <w:rPr>
              <w:b/>
              <w:color w:val="000000"/>
              <w:szCs w:val="20"/>
            </w:rPr>
            <w:instrText xml:space="preserve"> PAGE   \* MERGEFORMAT </w:instrText>
          </w:r>
          <w:r w:rsidRPr="007513C3">
            <w:rPr>
              <w:b/>
              <w:color w:val="000000"/>
              <w:szCs w:val="20"/>
            </w:rPr>
            <w:fldChar w:fldCharType="separate"/>
          </w:r>
          <w:r w:rsidR="007F2D06">
            <w:rPr>
              <w:b/>
              <w:noProof/>
              <w:color w:val="000000"/>
              <w:szCs w:val="20"/>
            </w:rPr>
            <w:t>1</w:t>
          </w:r>
          <w:r w:rsidRPr="007513C3">
            <w:rPr>
              <w:b/>
              <w:color w:val="000000"/>
              <w:szCs w:val="20"/>
            </w:rPr>
            <w:fldChar w:fldCharType="end"/>
          </w:r>
        </w:p>
      </w:tc>
    </w:tr>
  </w:tbl>
  <w:p w:rsidR="00123C45" w:rsidRDefault="00123C45" w:rsidP="001C427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0852" w:rsidRDefault="00AB0852">
      <w:r>
        <w:separator/>
      </w:r>
    </w:p>
  </w:footnote>
  <w:footnote w:type="continuationSeparator" w:id="0">
    <w:p w:rsidR="00AB0852" w:rsidRDefault="00AB085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C45" w:rsidRDefault="00123C45" w:rsidP="001C4276">
    <w:pPr>
      <w:pStyle w:val="Encabezado"/>
      <w:jc w:val="right"/>
    </w:pPr>
  </w:p>
  <w:p w:rsidR="00123C45" w:rsidRPr="00A20C40" w:rsidRDefault="00123C45" w:rsidP="00BB156A">
    <w:pPr>
      <w:pStyle w:val="Encabezado"/>
      <w:pBdr>
        <w:top w:val="single" w:sz="6" w:space="1" w:color="auto"/>
        <w:bottom w:val="single" w:sz="6" w:space="1" w:color="auto"/>
      </w:pBdr>
      <w:jc w:val="right"/>
      <w:rPr>
        <w:sz w:val="20"/>
        <w:szCs w:val="20"/>
      </w:rPr>
    </w:pPr>
    <w:r>
      <w:rPr>
        <w:sz w:val="20"/>
        <w:szCs w:val="20"/>
      </w:rPr>
      <w:t>Iliana Vélez Quijije y Rafael Tejeda Díaz</w:t>
    </w:r>
  </w:p>
  <w:p w:rsidR="00123C45" w:rsidRDefault="00123C45" w:rsidP="001C4276">
    <w:pPr>
      <w:pStyle w:val="Encabezado"/>
      <w:jc w:val="righ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C45" w:rsidRPr="00777BB9" w:rsidRDefault="00123C45" w:rsidP="007513C3">
    <w:pPr>
      <w:pStyle w:val="Encabezado"/>
      <w:jc w:val="both"/>
      <w:rPr>
        <w:sz w:val="20"/>
      </w:rPr>
    </w:pPr>
    <w:r w:rsidRPr="00777BB9">
      <w:rPr>
        <w:bCs/>
        <w:sz w:val="20"/>
      </w:rPr>
      <w:t>Revista Electrónica Formación y Calidad Educativa (REFCalE)</w:t>
    </w:r>
    <w:r>
      <w:rPr>
        <w:bCs/>
        <w:sz w:val="20"/>
      </w:rPr>
      <w:t xml:space="preserve"> </w:t>
    </w:r>
    <w:r w:rsidRPr="00777BB9">
      <w:rPr>
        <w:bCs/>
        <w:sz w:val="20"/>
      </w:rPr>
      <w:t xml:space="preserve">                               </w:t>
    </w:r>
    <w:r>
      <w:rPr>
        <w:bCs/>
        <w:sz w:val="20"/>
      </w:rPr>
      <w:t xml:space="preserve">                           </w:t>
    </w:r>
    <w:r w:rsidRPr="00F34BFC">
      <w:rPr>
        <w:sz w:val="20"/>
        <w:szCs w:val="20"/>
      </w:rPr>
      <w:t xml:space="preserve">ISSN </w:t>
    </w:r>
    <w:r w:rsidRPr="00F34BFC">
      <w:rPr>
        <w:color w:val="000000"/>
        <w:sz w:val="20"/>
        <w:szCs w:val="20"/>
      </w:rPr>
      <w:t>1390-9010</w:t>
    </w:r>
  </w:p>
  <w:p w:rsidR="00123C45" w:rsidRPr="00A20C40" w:rsidRDefault="00123C45" w:rsidP="001C4276">
    <w:pPr>
      <w:pStyle w:val="Encabezado"/>
      <w:pBdr>
        <w:top w:val="single" w:sz="6" w:space="1" w:color="auto"/>
        <w:bottom w:val="single" w:sz="6" w:space="1" w:color="auto"/>
      </w:pBdr>
      <w:jc w:val="both"/>
      <w:rPr>
        <w:sz w:val="20"/>
        <w:szCs w:val="20"/>
      </w:rPr>
    </w:pPr>
    <w:r w:rsidRPr="00A36799">
      <w:rPr>
        <w:sz w:val="20"/>
        <w:szCs w:val="20"/>
      </w:rPr>
      <w:t xml:space="preserve">GAMIFICACIÓN PARA DESARROLLAR HABILIDADES COGNITIVAS                                                                     </w:t>
    </w:r>
  </w:p>
  <w:p w:rsidR="00123C45" w:rsidRDefault="00123C45" w:rsidP="001C4276">
    <w:pPr>
      <w:pStyle w:val="Encabezado"/>
      <w:jc w:val="both"/>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F4E4A"/>
    <w:multiLevelType w:val="hybridMultilevel"/>
    <w:tmpl w:val="A1C2FA18"/>
    <w:lvl w:ilvl="0" w:tplc="08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4E2E4F"/>
    <w:multiLevelType w:val="hybridMultilevel"/>
    <w:tmpl w:val="ABCEAC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541F29"/>
    <w:multiLevelType w:val="hybridMultilevel"/>
    <w:tmpl w:val="44E8E0C4"/>
    <w:lvl w:ilvl="0" w:tplc="6C522408">
      <w:start w:val="1"/>
      <w:numFmt w:val="bullet"/>
      <w:lvlText w:val=""/>
      <w:lvlJc w:val="left"/>
      <w:pPr>
        <w:ind w:left="360" w:hanging="360"/>
      </w:pPr>
      <w:rPr>
        <w:rFonts w:ascii="Symbol" w:hAnsi="Symbol" w:hint="default"/>
      </w:rPr>
    </w:lvl>
    <w:lvl w:ilvl="1" w:tplc="300A0003" w:tentative="1">
      <w:start w:val="1"/>
      <w:numFmt w:val="bullet"/>
      <w:lvlText w:val="o"/>
      <w:lvlJc w:val="left"/>
      <w:pPr>
        <w:ind w:left="1080" w:hanging="360"/>
      </w:pPr>
      <w:rPr>
        <w:rFonts w:ascii="Courier New" w:hAnsi="Courier New" w:cs="Courier New" w:hint="default"/>
      </w:rPr>
    </w:lvl>
    <w:lvl w:ilvl="2" w:tplc="300A0005" w:tentative="1">
      <w:start w:val="1"/>
      <w:numFmt w:val="bullet"/>
      <w:lvlText w:val=""/>
      <w:lvlJc w:val="left"/>
      <w:pPr>
        <w:ind w:left="1800" w:hanging="360"/>
      </w:pPr>
      <w:rPr>
        <w:rFonts w:ascii="Wingdings" w:hAnsi="Wingdings" w:hint="default"/>
      </w:rPr>
    </w:lvl>
    <w:lvl w:ilvl="3" w:tplc="300A0001" w:tentative="1">
      <w:start w:val="1"/>
      <w:numFmt w:val="bullet"/>
      <w:lvlText w:val=""/>
      <w:lvlJc w:val="left"/>
      <w:pPr>
        <w:ind w:left="2520" w:hanging="360"/>
      </w:pPr>
      <w:rPr>
        <w:rFonts w:ascii="Symbol" w:hAnsi="Symbol" w:hint="default"/>
      </w:rPr>
    </w:lvl>
    <w:lvl w:ilvl="4" w:tplc="300A0003" w:tentative="1">
      <w:start w:val="1"/>
      <w:numFmt w:val="bullet"/>
      <w:lvlText w:val="o"/>
      <w:lvlJc w:val="left"/>
      <w:pPr>
        <w:ind w:left="3240" w:hanging="360"/>
      </w:pPr>
      <w:rPr>
        <w:rFonts w:ascii="Courier New" w:hAnsi="Courier New" w:cs="Courier New" w:hint="default"/>
      </w:rPr>
    </w:lvl>
    <w:lvl w:ilvl="5" w:tplc="300A0005" w:tentative="1">
      <w:start w:val="1"/>
      <w:numFmt w:val="bullet"/>
      <w:lvlText w:val=""/>
      <w:lvlJc w:val="left"/>
      <w:pPr>
        <w:ind w:left="3960" w:hanging="360"/>
      </w:pPr>
      <w:rPr>
        <w:rFonts w:ascii="Wingdings" w:hAnsi="Wingdings" w:hint="default"/>
      </w:rPr>
    </w:lvl>
    <w:lvl w:ilvl="6" w:tplc="300A0001" w:tentative="1">
      <w:start w:val="1"/>
      <w:numFmt w:val="bullet"/>
      <w:lvlText w:val=""/>
      <w:lvlJc w:val="left"/>
      <w:pPr>
        <w:ind w:left="4680" w:hanging="360"/>
      </w:pPr>
      <w:rPr>
        <w:rFonts w:ascii="Symbol" w:hAnsi="Symbol" w:hint="default"/>
      </w:rPr>
    </w:lvl>
    <w:lvl w:ilvl="7" w:tplc="300A0003" w:tentative="1">
      <w:start w:val="1"/>
      <w:numFmt w:val="bullet"/>
      <w:lvlText w:val="o"/>
      <w:lvlJc w:val="left"/>
      <w:pPr>
        <w:ind w:left="5400" w:hanging="360"/>
      </w:pPr>
      <w:rPr>
        <w:rFonts w:ascii="Courier New" w:hAnsi="Courier New" w:cs="Courier New" w:hint="default"/>
      </w:rPr>
    </w:lvl>
    <w:lvl w:ilvl="8" w:tplc="300A0005" w:tentative="1">
      <w:start w:val="1"/>
      <w:numFmt w:val="bullet"/>
      <w:lvlText w:val=""/>
      <w:lvlJc w:val="left"/>
      <w:pPr>
        <w:ind w:left="6120" w:hanging="360"/>
      </w:pPr>
      <w:rPr>
        <w:rFonts w:ascii="Wingdings" w:hAnsi="Wingdings" w:hint="default"/>
      </w:rPr>
    </w:lvl>
  </w:abstractNum>
  <w:abstractNum w:abstractNumId="3" w15:restartNumberingAfterBreak="0">
    <w:nsid w:val="0DB75DF7"/>
    <w:multiLevelType w:val="hybridMultilevel"/>
    <w:tmpl w:val="534AB904"/>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F515A19"/>
    <w:multiLevelType w:val="hybridMultilevel"/>
    <w:tmpl w:val="E02215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8971C77"/>
    <w:multiLevelType w:val="hybridMultilevel"/>
    <w:tmpl w:val="280A8A9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AC64941"/>
    <w:multiLevelType w:val="hybridMultilevel"/>
    <w:tmpl w:val="10DE68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FC90857"/>
    <w:multiLevelType w:val="hybridMultilevel"/>
    <w:tmpl w:val="3592A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837001"/>
    <w:multiLevelType w:val="hybridMultilevel"/>
    <w:tmpl w:val="3072E992"/>
    <w:lvl w:ilvl="0" w:tplc="04090001">
      <w:start w:val="1"/>
      <w:numFmt w:val="bullet"/>
      <w:lvlText w:val=""/>
      <w:lvlJc w:val="left"/>
      <w:pPr>
        <w:ind w:left="726" w:hanging="360"/>
      </w:pPr>
      <w:rPr>
        <w:rFonts w:ascii="Symbol" w:hAnsi="Symbol" w:hint="default"/>
      </w:rPr>
    </w:lvl>
    <w:lvl w:ilvl="1" w:tplc="04090003" w:tentative="1">
      <w:start w:val="1"/>
      <w:numFmt w:val="bullet"/>
      <w:lvlText w:val="o"/>
      <w:lvlJc w:val="left"/>
      <w:pPr>
        <w:ind w:left="1446" w:hanging="360"/>
      </w:pPr>
      <w:rPr>
        <w:rFonts w:ascii="Courier New" w:hAnsi="Courier New" w:cs="Courier New" w:hint="default"/>
      </w:rPr>
    </w:lvl>
    <w:lvl w:ilvl="2" w:tplc="04090005" w:tentative="1">
      <w:start w:val="1"/>
      <w:numFmt w:val="bullet"/>
      <w:lvlText w:val=""/>
      <w:lvlJc w:val="left"/>
      <w:pPr>
        <w:ind w:left="2166" w:hanging="360"/>
      </w:pPr>
      <w:rPr>
        <w:rFonts w:ascii="Wingdings" w:hAnsi="Wingdings" w:hint="default"/>
      </w:rPr>
    </w:lvl>
    <w:lvl w:ilvl="3" w:tplc="04090001" w:tentative="1">
      <w:start w:val="1"/>
      <w:numFmt w:val="bullet"/>
      <w:lvlText w:val=""/>
      <w:lvlJc w:val="left"/>
      <w:pPr>
        <w:ind w:left="2886" w:hanging="360"/>
      </w:pPr>
      <w:rPr>
        <w:rFonts w:ascii="Symbol" w:hAnsi="Symbol" w:hint="default"/>
      </w:rPr>
    </w:lvl>
    <w:lvl w:ilvl="4" w:tplc="04090003" w:tentative="1">
      <w:start w:val="1"/>
      <w:numFmt w:val="bullet"/>
      <w:lvlText w:val="o"/>
      <w:lvlJc w:val="left"/>
      <w:pPr>
        <w:ind w:left="3606" w:hanging="360"/>
      </w:pPr>
      <w:rPr>
        <w:rFonts w:ascii="Courier New" w:hAnsi="Courier New" w:cs="Courier New" w:hint="default"/>
      </w:rPr>
    </w:lvl>
    <w:lvl w:ilvl="5" w:tplc="04090005" w:tentative="1">
      <w:start w:val="1"/>
      <w:numFmt w:val="bullet"/>
      <w:lvlText w:val=""/>
      <w:lvlJc w:val="left"/>
      <w:pPr>
        <w:ind w:left="4326" w:hanging="360"/>
      </w:pPr>
      <w:rPr>
        <w:rFonts w:ascii="Wingdings" w:hAnsi="Wingdings" w:hint="default"/>
      </w:rPr>
    </w:lvl>
    <w:lvl w:ilvl="6" w:tplc="04090001" w:tentative="1">
      <w:start w:val="1"/>
      <w:numFmt w:val="bullet"/>
      <w:lvlText w:val=""/>
      <w:lvlJc w:val="left"/>
      <w:pPr>
        <w:ind w:left="5046" w:hanging="360"/>
      </w:pPr>
      <w:rPr>
        <w:rFonts w:ascii="Symbol" w:hAnsi="Symbol" w:hint="default"/>
      </w:rPr>
    </w:lvl>
    <w:lvl w:ilvl="7" w:tplc="04090003" w:tentative="1">
      <w:start w:val="1"/>
      <w:numFmt w:val="bullet"/>
      <w:lvlText w:val="o"/>
      <w:lvlJc w:val="left"/>
      <w:pPr>
        <w:ind w:left="5766" w:hanging="360"/>
      </w:pPr>
      <w:rPr>
        <w:rFonts w:ascii="Courier New" w:hAnsi="Courier New" w:cs="Courier New" w:hint="default"/>
      </w:rPr>
    </w:lvl>
    <w:lvl w:ilvl="8" w:tplc="04090005" w:tentative="1">
      <w:start w:val="1"/>
      <w:numFmt w:val="bullet"/>
      <w:lvlText w:val=""/>
      <w:lvlJc w:val="left"/>
      <w:pPr>
        <w:ind w:left="6486" w:hanging="360"/>
      </w:pPr>
      <w:rPr>
        <w:rFonts w:ascii="Wingdings" w:hAnsi="Wingdings" w:hint="default"/>
      </w:rPr>
    </w:lvl>
  </w:abstractNum>
  <w:abstractNum w:abstractNumId="9" w15:restartNumberingAfterBreak="0">
    <w:nsid w:val="2496350F"/>
    <w:multiLevelType w:val="hybridMultilevel"/>
    <w:tmpl w:val="5CEC2828"/>
    <w:lvl w:ilvl="0" w:tplc="A7AE4830">
      <w:numFmt w:val="bullet"/>
      <w:lvlText w:val="-"/>
      <w:lvlJc w:val="left"/>
      <w:pPr>
        <w:ind w:left="1440" w:hanging="360"/>
      </w:pPr>
      <w:rPr>
        <w:rFonts w:ascii="Verdana" w:eastAsia="Times New Roman" w:hAnsi="Verdana"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0F737A2"/>
    <w:multiLevelType w:val="hybridMultilevel"/>
    <w:tmpl w:val="224C27BE"/>
    <w:lvl w:ilvl="0" w:tplc="A7AE4830">
      <w:numFmt w:val="bullet"/>
      <w:lvlText w:val="-"/>
      <w:lvlJc w:val="left"/>
      <w:pPr>
        <w:ind w:left="720" w:hanging="360"/>
      </w:pPr>
      <w:rPr>
        <w:rFonts w:ascii="Verdana" w:eastAsia="Times New Roma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FA27D7"/>
    <w:multiLevelType w:val="hybridMultilevel"/>
    <w:tmpl w:val="158841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706051"/>
    <w:multiLevelType w:val="multilevel"/>
    <w:tmpl w:val="77EC037A"/>
    <w:lvl w:ilvl="0">
      <w:start w:val="1"/>
      <w:numFmt w:val="decimal"/>
      <w:lvlText w:val="%1."/>
      <w:lvlJc w:val="left"/>
      <w:pPr>
        <w:ind w:left="720" w:hanging="360"/>
      </w:pPr>
      <w:rPr>
        <w:rFonts w:ascii="Times New Roman" w:eastAsia="Arial" w:hAnsi="Times New Roman" w:cs="Times New Roman"/>
        <w:b w:val="0"/>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40FE1817"/>
    <w:multiLevelType w:val="hybridMultilevel"/>
    <w:tmpl w:val="785AA7A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4D8D64B9"/>
    <w:multiLevelType w:val="hybridMultilevel"/>
    <w:tmpl w:val="BA2264A6"/>
    <w:lvl w:ilvl="0" w:tplc="A7AE4830">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0A628A2"/>
    <w:multiLevelType w:val="hybridMultilevel"/>
    <w:tmpl w:val="1A2209B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57800811"/>
    <w:multiLevelType w:val="hybridMultilevel"/>
    <w:tmpl w:val="5DE0B1FA"/>
    <w:lvl w:ilvl="0" w:tplc="A7AE4830">
      <w:numFmt w:val="bullet"/>
      <w:lvlText w:val="-"/>
      <w:lvlJc w:val="left"/>
      <w:pPr>
        <w:ind w:left="720" w:hanging="360"/>
      </w:pPr>
      <w:rPr>
        <w:rFonts w:ascii="Verdana" w:eastAsia="Times New Roma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026C97"/>
    <w:multiLevelType w:val="hybridMultilevel"/>
    <w:tmpl w:val="D178A3F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63DA659A"/>
    <w:multiLevelType w:val="hybridMultilevel"/>
    <w:tmpl w:val="C0ECA66C"/>
    <w:lvl w:ilvl="0" w:tplc="0ADAD1BE">
      <w:start w:val="1"/>
      <w:numFmt w:val="decimal"/>
      <w:lvlText w:val="%1."/>
      <w:lvlJc w:val="left"/>
      <w:pPr>
        <w:ind w:left="360" w:hanging="360"/>
      </w:pPr>
      <w:rPr>
        <w:rFonts w:ascii="Times New Roman" w:eastAsiaTheme="minorHAnsi"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3F62B2F"/>
    <w:multiLevelType w:val="multilevel"/>
    <w:tmpl w:val="D892EB7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56521B1"/>
    <w:multiLevelType w:val="hybridMultilevel"/>
    <w:tmpl w:val="04AC954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7"/>
  </w:num>
  <w:num w:numId="2">
    <w:abstractNumId w:val="20"/>
  </w:num>
  <w:num w:numId="3">
    <w:abstractNumId w:val="13"/>
  </w:num>
  <w:num w:numId="4">
    <w:abstractNumId w:val="5"/>
  </w:num>
  <w:num w:numId="5">
    <w:abstractNumId w:val="4"/>
  </w:num>
  <w:num w:numId="6">
    <w:abstractNumId w:val="15"/>
  </w:num>
  <w:num w:numId="7">
    <w:abstractNumId w:val="6"/>
  </w:num>
  <w:num w:numId="8">
    <w:abstractNumId w:val="2"/>
  </w:num>
  <w:num w:numId="9">
    <w:abstractNumId w:val="0"/>
  </w:num>
  <w:num w:numId="10">
    <w:abstractNumId w:val="14"/>
  </w:num>
  <w:num w:numId="11">
    <w:abstractNumId w:val="3"/>
  </w:num>
  <w:num w:numId="12">
    <w:abstractNumId w:val="10"/>
  </w:num>
  <w:num w:numId="13">
    <w:abstractNumId w:val="16"/>
  </w:num>
  <w:num w:numId="14">
    <w:abstractNumId w:val="9"/>
  </w:num>
  <w:num w:numId="15">
    <w:abstractNumId w:val="1"/>
  </w:num>
  <w:num w:numId="16">
    <w:abstractNumId w:val="11"/>
  </w:num>
  <w:num w:numId="17">
    <w:abstractNumId w:val="19"/>
  </w:num>
  <w:num w:numId="18">
    <w:abstractNumId w:val="12"/>
  </w:num>
  <w:num w:numId="19">
    <w:abstractNumId w:val="7"/>
  </w:num>
  <w:num w:numId="20">
    <w:abstractNumId w:val="8"/>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EAE"/>
    <w:rsid w:val="00004B07"/>
    <w:rsid w:val="00016216"/>
    <w:rsid w:val="000309F4"/>
    <w:rsid w:val="00037E04"/>
    <w:rsid w:val="00047230"/>
    <w:rsid w:val="00047F51"/>
    <w:rsid w:val="00084A5D"/>
    <w:rsid w:val="000A42E7"/>
    <w:rsid w:val="000D472F"/>
    <w:rsid w:val="000E0D44"/>
    <w:rsid w:val="000E4BC3"/>
    <w:rsid w:val="000F1F82"/>
    <w:rsid w:val="00123C45"/>
    <w:rsid w:val="0013721C"/>
    <w:rsid w:val="00143EBB"/>
    <w:rsid w:val="00150FD3"/>
    <w:rsid w:val="0016465D"/>
    <w:rsid w:val="00166949"/>
    <w:rsid w:val="001679A2"/>
    <w:rsid w:val="00173172"/>
    <w:rsid w:val="001B36DD"/>
    <w:rsid w:val="001B610B"/>
    <w:rsid w:val="001C4276"/>
    <w:rsid w:val="001D7B3E"/>
    <w:rsid w:val="001E4510"/>
    <w:rsid w:val="001F3859"/>
    <w:rsid w:val="001F4A63"/>
    <w:rsid w:val="001F6CA6"/>
    <w:rsid w:val="00201655"/>
    <w:rsid w:val="00207ADB"/>
    <w:rsid w:val="00220D8F"/>
    <w:rsid w:val="00221814"/>
    <w:rsid w:val="00234EDA"/>
    <w:rsid w:val="002441F6"/>
    <w:rsid w:val="00250EA5"/>
    <w:rsid w:val="002521CF"/>
    <w:rsid w:val="00253C1C"/>
    <w:rsid w:val="002619D8"/>
    <w:rsid w:val="002770F7"/>
    <w:rsid w:val="00277FEB"/>
    <w:rsid w:val="0028092D"/>
    <w:rsid w:val="00292E6C"/>
    <w:rsid w:val="002B0C86"/>
    <w:rsid w:val="002C2540"/>
    <w:rsid w:val="002C6226"/>
    <w:rsid w:val="002D760B"/>
    <w:rsid w:val="00306AB9"/>
    <w:rsid w:val="0031125E"/>
    <w:rsid w:val="00312B16"/>
    <w:rsid w:val="00313E9B"/>
    <w:rsid w:val="00315C8A"/>
    <w:rsid w:val="00352C95"/>
    <w:rsid w:val="00357A5F"/>
    <w:rsid w:val="003752FA"/>
    <w:rsid w:val="00382F34"/>
    <w:rsid w:val="003839D1"/>
    <w:rsid w:val="003901D7"/>
    <w:rsid w:val="003B6E3F"/>
    <w:rsid w:val="003C5413"/>
    <w:rsid w:val="003C78E2"/>
    <w:rsid w:val="003D3985"/>
    <w:rsid w:val="003F1934"/>
    <w:rsid w:val="0040089B"/>
    <w:rsid w:val="00425002"/>
    <w:rsid w:val="00425F8E"/>
    <w:rsid w:val="00441238"/>
    <w:rsid w:val="004633A7"/>
    <w:rsid w:val="00471FF3"/>
    <w:rsid w:val="004817CD"/>
    <w:rsid w:val="00482642"/>
    <w:rsid w:val="0049695E"/>
    <w:rsid w:val="004A076F"/>
    <w:rsid w:val="004A7D0F"/>
    <w:rsid w:val="004B17F1"/>
    <w:rsid w:val="004B7970"/>
    <w:rsid w:val="004C043E"/>
    <w:rsid w:val="004D2493"/>
    <w:rsid w:val="004D2D5F"/>
    <w:rsid w:val="004D67C9"/>
    <w:rsid w:val="004F290D"/>
    <w:rsid w:val="004F5080"/>
    <w:rsid w:val="004F7120"/>
    <w:rsid w:val="005038D5"/>
    <w:rsid w:val="00511950"/>
    <w:rsid w:val="00513938"/>
    <w:rsid w:val="005232AF"/>
    <w:rsid w:val="00552E79"/>
    <w:rsid w:val="00560CB7"/>
    <w:rsid w:val="00562799"/>
    <w:rsid w:val="00566967"/>
    <w:rsid w:val="0056779D"/>
    <w:rsid w:val="00575250"/>
    <w:rsid w:val="0058078F"/>
    <w:rsid w:val="005B1733"/>
    <w:rsid w:val="005B21C4"/>
    <w:rsid w:val="005B23C6"/>
    <w:rsid w:val="005C377C"/>
    <w:rsid w:val="005D0280"/>
    <w:rsid w:val="005D0DAD"/>
    <w:rsid w:val="005D268D"/>
    <w:rsid w:val="005D59DD"/>
    <w:rsid w:val="005D717E"/>
    <w:rsid w:val="005E0EAB"/>
    <w:rsid w:val="005E1DCD"/>
    <w:rsid w:val="005F0006"/>
    <w:rsid w:val="005F3E79"/>
    <w:rsid w:val="00617623"/>
    <w:rsid w:val="00635179"/>
    <w:rsid w:val="00652204"/>
    <w:rsid w:val="00660E21"/>
    <w:rsid w:val="006629F7"/>
    <w:rsid w:val="0067178B"/>
    <w:rsid w:val="00691F3A"/>
    <w:rsid w:val="00692ADF"/>
    <w:rsid w:val="006B0146"/>
    <w:rsid w:val="006B1879"/>
    <w:rsid w:val="006B58B8"/>
    <w:rsid w:val="006B7E12"/>
    <w:rsid w:val="006C37B7"/>
    <w:rsid w:val="006C618C"/>
    <w:rsid w:val="006D1107"/>
    <w:rsid w:val="006D2412"/>
    <w:rsid w:val="006E2752"/>
    <w:rsid w:val="006E42F9"/>
    <w:rsid w:val="006E45AC"/>
    <w:rsid w:val="006E6702"/>
    <w:rsid w:val="006F51F4"/>
    <w:rsid w:val="00703D4D"/>
    <w:rsid w:val="007101D8"/>
    <w:rsid w:val="00713C16"/>
    <w:rsid w:val="007163F3"/>
    <w:rsid w:val="0071666E"/>
    <w:rsid w:val="00720E36"/>
    <w:rsid w:val="00721656"/>
    <w:rsid w:val="007277CB"/>
    <w:rsid w:val="0074270E"/>
    <w:rsid w:val="00745194"/>
    <w:rsid w:val="007513C3"/>
    <w:rsid w:val="00753064"/>
    <w:rsid w:val="00753C26"/>
    <w:rsid w:val="00755D5C"/>
    <w:rsid w:val="00760D09"/>
    <w:rsid w:val="00760F9A"/>
    <w:rsid w:val="007626D8"/>
    <w:rsid w:val="007665AD"/>
    <w:rsid w:val="00785E51"/>
    <w:rsid w:val="00792C6B"/>
    <w:rsid w:val="007A2EC4"/>
    <w:rsid w:val="007C4514"/>
    <w:rsid w:val="007D2F37"/>
    <w:rsid w:val="007D514A"/>
    <w:rsid w:val="007D7BA5"/>
    <w:rsid w:val="007E18EB"/>
    <w:rsid w:val="007F0A8D"/>
    <w:rsid w:val="007F2D06"/>
    <w:rsid w:val="007F422C"/>
    <w:rsid w:val="00802AC7"/>
    <w:rsid w:val="0081486E"/>
    <w:rsid w:val="008450B3"/>
    <w:rsid w:val="00855EBE"/>
    <w:rsid w:val="008623E2"/>
    <w:rsid w:val="00872175"/>
    <w:rsid w:val="008746D9"/>
    <w:rsid w:val="00881561"/>
    <w:rsid w:val="00885AC3"/>
    <w:rsid w:val="0089680F"/>
    <w:rsid w:val="008A194E"/>
    <w:rsid w:val="008B3758"/>
    <w:rsid w:val="008B4B89"/>
    <w:rsid w:val="008B5463"/>
    <w:rsid w:val="008B77B1"/>
    <w:rsid w:val="008D6B5E"/>
    <w:rsid w:val="008E20C3"/>
    <w:rsid w:val="008F5B5D"/>
    <w:rsid w:val="009003E1"/>
    <w:rsid w:val="00905F12"/>
    <w:rsid w:val="0093363A"/>
    <w:rsid w:val="00941BF3"/>
    <w:rsid w:val="00950FEB"/>
    <w:rsid w:val="00955CD4"/>
    <w:rsid w:val="00961C30"/>
    <w:rsid w:val="00967B55"/>
    <w:rsid w:val="009748C0"/>
    <w:rsid w:val="00981113"/>
    <w:rsid w:val="0098140C"/>
    <w:rsid w:val="0098371A"/>
    <w:rsid w:val="00994090"/>
    <w:rsid w:val="0099606C"/>
    <w:rsid w:val="009A58B9"/>
    <w:rsid w:val="009E1B09"/>
    <w:rsid w:val="009E6E72"/>
    <w:rsid w:val="009F19A0"/>
    <w:rsid w:val="009F3796"/>
    <w:rsid w:val="009F41E9"/>
    <w:rsid w:val="009F70F1"/>
    <w:rsid w:val="00A235BF"/>
    <w:rsid w:val="00A26448"/>
    <w:rsid w:val="00A329B0"/>
    <w:rsid w:val="00A352E1"/>
    <w:rsid w:val="00A36799"/>
    <w:rsid w:val="00A45C46"/>
    <w:rsid w:val="00A62AC2"/>
    <w:rsid w:val="00A6578B"/>
    <w:rsid w:val="00A71A93"/>
    <w:rsid w:val="00A71E82"/>
    <w:rsid w:val="00A734DA"/>
    <w:rsid w:val="00A82261"/>
    <w:rsid w:val="00A90F07"/>
    <w:rsid w:val="00A92791"/>
    <w:rsid w:val="00A964A6"/>
    <w:rsid w:val="00A96C74"/>
    <w:rsid w:val="00AB0852"/>
    <w:rsid w:val="00AD1AA9"/>
    <w:rsid w:val="00AF60AD"/>
    <w:rsid w:val="00B126F6"/>
    <w:rsid w:val="00B16892"/>
    <w:rsid w:val="00B3478D"/>
    <w:rsid w:val="00B955B2"/>
    <w:rsid w:val="00BA2AF5"/>
    <w:rsid w:val="00BB156A"/>
    <w:rsid w:val="00C10345"/>
    <w:rsid w:val="00C16F50"/>
    <w:rsid w:val="00C21401"/>
    <w:rsid w:val="00C37B96"/>
    <w:rsid w:val="00C668CD"/>
    <w:rsid w:val="00C72756"/>
    <w:rsid w:val="00C72887"/>
    <w:rsid w:val="00C72DBD"/>
    <w:rsid w:val="00C76042"/>
    <w:rsid w:val="00C80B21"/>
    <w:rsid w:val="00C8603F"/>
    <w:rsid w:val="00C96962"/>
    <w:rsid w:val="00CA1653"/>
    <w:rsid w:val="00CB0FFE"/>
    <w:rsid w:val="00CB359F"/>
    <w:rsid w:val="00CB719D"/>
    <w:rsid w:val="00CC5D4C"/>
    <w:rsid w:val="00CD29F0"/>
    <w:rsid w:val="00CD3502"/>
    <w:rsid w:val="00D044D0"/>
    <w:rsid w:val="00D219FC"/>
    <w:rsid w:val="00D418EE"/>
    <w:rsid w:val="00D50516"/>
    <w:rsid w:val="00D63E53"/>
    <w:rsid w:val="00D659D9"/>
    <w:rsid w:val="00D70B1E"/>
    <w:rsid w:val="00D86AF9"/>
    <w:rsid w:val="00D9486E"/>
    <w:rsid w:val="00D94967"/>
    <w:rsid w:val="00D95539"/>
    <w:rsid w:val="00DA4BE8"/>
    <w:rsid w:val="00DA5421"/>
    <w:rsid w:val="00DB3A0C"/>
    <w:rsid w:val="00DD7389"/>
    <w:rsid w:val="00DE16C6"/>
    <w:rsid w:val="00DF7BF3"/>
    <w:rsid w:val="00E07166"/>
    <w:rsid w:val="00E15BA5"/>
    <w:rsid w:val="00E21151"/>
    <w:rsid w:val="00E22708"/>
    <w:rsid w:val="00E248C7"/>
    <w:rsid w:val="00E373EA"/>
    <w:rsid w:val="00E4122E"/>
    <w:rsid w:val="00E413A8"/>
    <w:rsid w:val="00E54D4A"/>
    <w:rsid w:val="00E70C69"/>
    <w:rsid w:val="00E722E4"/>
    <w:rsid w:val="00E754EA"/>
    <w:rsid w:val="00E95C61"/>
    <w:rsid w:val="00EA5420"/>
    <w:rsid w:val="00EA6D03"/>
    <w:rsid w:val="00EB4131"/>
    <w:rsid w:val="00EC22EE"/>
    <w:rsid w:val="00ED2E4C"/>
    <w:rsid w:val="00EE665D"/>
    <w:rsid w:val="00EF5F57"/>
    <w:rsid w:val="00EF60F3"/>
    <w:rsid w:val="00F15838"/>
    <w:rsid w:val="00F158B7"/>
    <w:rsid w:val="00F162B6"/>
    <w:rsid w:val="00F16E4F"/>
    <w:rsid w:val="00F21DD1"/>
    <w:rsid w:val="00F247CE"/>
    <w:rsid w:val="00F2714C"/>
    <w:rsid w:val="00F34BFC"/>
    <w:rsid w:val="00F631FC"/>
    <w:rsid w:val="00F65DF4"/>
    <w:rsid w:val="00F71A85"/>
    <w:rsid w:val="00F81485"/>
    <w:rsid w:val="00F81EAE"/>
    <w:rsid w:val="00F95DE2"/>
    <w:rsid w:val="00FA11D2"/>
    <w:rsid w:val="00FC59A3"/>
    <w:rsid w:val="00FD5E2B"/>
    <w:rsid w:val="00FF7C5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76CD38"/>
  <w15:chartTrackingRefBased/>
  <w15:docId w15:val="{984BE00F-2831-4425-AF03-0125C8B42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EAE"/>
    <w:rPr>
      <w:sz w:val="24"/>
      <w:szCs w:val="24"/>
    </w:rPr>
  </w:style>
  <w:style w:type="paragraph" w:styleId="Ttulo1">
    <w:name w:val="heading 1"/>
    <w:basedOn w:val="Normal"/>
    <w:next w:val="Normal"/>
    <w:link w:val="Ttulo1Car"/>
    <w:uiPriority w:val="9"/>
    <w:qFormat/>
    <w:rsid w:val="00881561"/>
    <w:pPr>
      <w:keepNext/>
      <w:keepLines/>
      <w:spacing w:before="240" w:line="259" w:lineRule="auto"/>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semiHidden/>
    <w:unhideWhenUsed/>
    <w:qFormat/>
    <w:rsid w:val="001D7B3E"/>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81EAE"/>
    <w:pPr>
      <w:tabs>
        <w:tab w:val="center" w:pos="4252"/>
        <w:tab w:val="right" w:pos="8504"/>
      </w:tabs>
    </w:pPr>
  </w:style>
  <w:style w:type="paragraph" w:styleId="Piedepgina">
    <w:name w:val="footer"/>
    <w:basedOn w:val="Normal"/>
    <w:link w:val="PiedepginaCar"/>
    <w:rsid w:val="00F81EAE"/>
    <w:pPr>
      <w:tabs>
        <w:tab w:val="center" w:pos="4252"/>
        <w:tab w:val="right" w:pos="8504"/>
      </w:tabs>
    </w:pPr>
  </w:style>
  <w:style w:type="paragraph" w:styleId="Textonotapie">
    <w:name w:val="footnote text"/>
    <w:aliases w:val="footnote"/>
    <w:basedOn w:val="Normal"/>
    <w:semiHidden/>
    <w:rsid w:val="00F81EAE"/>
    <w:rPr>
      <w:sz w:val="20"/>
      <w:szCs w:val="20"/>
    </w:rPr>
  </w:style>
  <w:style w:type="character" w:styleId="Refdenotaalpie">
    <w:name w:val="footnote reference"/>
    <w:semiHidden/>
    <w:rsid w:val="00F81EAE"/>
    <w:rPr>
      <w:vertAlign w:val="superscript"/>
    </w:rPr>
  </w:style>
  <w:style w:type="character" w:customStyle="1" w:styleId="PiedepginaCar">
    <w:name w:val="Pie de página Car"/>
    <w:link w:val="Piedepgina"/>
    <w:rsid w:val="00F81EAE"/>
    <w:rPr>
      <w:sz w:val="24"/>
      <w:szCs w:val="24"/>
      <w:lang w:val="es-ES" w:eastAsia="es-ES" w:bidi="ar-SA"/>
    </w:rPr>
  </w:style>
  <w:style w:type="character" w:customStyle="1" w:styleId="EncabezadoCar">
    <w:name w:val="Encabezado Car"/>
    <w:link w:val="Encabezado"/>
    <w:rsid w:val="00F81EAE"/>
    <w:rPr>
      <w:sz w:val="24"/>
      <w:szCs w:val="24"/>
      <w:lang w:val="es-ES" w:eastAsia="es-ES" w:bidi="ar-SA"/>
    </w:rPr>
  </w:style>
  <w:style w:type="character" w:styleId="Hipervnculo">
    <w:name w:val="Hyperlink"/>
    <w:rsid w:val="00F81EAE"/>
    <w:rPr>
      <w:color w:val="0000FF"/>
      <w:u w:val="single"/>
    </w:rPr>
  </w:style>
  <w:style w:type="character" w:customStyle="1" w:styleId="apple-style-span">
    <w:name w:val="apple-style-span"/>
    <w:basedOn w:val="Fuentedeprrafopredeter"/>
    <w:rsid w:val="00F81EAE"/>
  </w:style>
  <w:style w:type="character" w:customStyle="1" w:styleId="apple-converted-space">
    <w:name w:val="apple-converted-space"/>
    <w:basedOn w:val="Fuentedeprrafopredeter"/>
    <w:rsid w:val="00F81EAE"/>
  </w:style>
  <w:style w:type="character" w:styleId="Nmerodepgina">
    <w:name w:val="page number"/>
    <w:rsid w:val="007513C3"/>
    <w:rPr>
      <w:rFonts w:ascii="Times" w:hAnsi="Times"/>
      <w:noProof w:val="0"/>
      <w:sz w:val="18"/>
      <w:lang w:val="en-GB"/>
    </w:rPr>
  </w:style>
  <w:style w:type="paragraph" w:styleId="Prrafodelista">
    <w:name w:val="List Paragraph"/>
    <w:aliases w:val="Listados numerados"/>
    <w:basedOn w:val="Normal"/>
    <w:uiPriority w:val="34"/>
    <w:qFormat/>
    <w:rsid w:val="007513C3"/>
    <w:pPr>
      <w:spacing w:after="200" w:line="276" w:lineRule="auto"/>
      <w:ind w:left="708"/>
    </w:pPr>
    <w:rPr>
      <w:rFonts w:ascii="Calibri" w:eastAsia="Calibri" w:hAnsi="Calibri"/>
      <w:sz w:val="22"/>
      <w:szCs w:val="22"/>
      <w:lang w:val="es-MX" w:eastAsia="en-US"/>
    </w:rPr>
  </w:style>
  <w:style w:type="character" w:styleId="Refdecomentario">
    <w:name w:val="annotation reference"/>
    <w:rsid w:val="00745194"/>
    <w:rPr>
      <w:sz w:val="16"/>
      <w:szCs w:val="16"/>
    </w:rPr>
  </w:style>
  <w:style w:type="paragraph" w:styleId="Textocomentario">
    <w:name w:val="annotation text"/>
    <w:basedOn w:val="Normal"/>
    <w:link w:val="TextocomentarioCar"/>
    <w:rsid w:val="00745194"/>
    <w:rPr>
      <w:sz w:val="20"/>
      <w:szCs w:val="20"/>
    </w:rPr>
  </w:style>
  <w:style w:type="character" w:customStyle="1" w:styleId="TextocomentarioCar">
    <w:name w:val="Texto comentario Car"/>
    <w:link w:val="Textocomentario"/>
    <w:rsid w:val="00745194"/>
    <w:rPr>
      <w:lang w:val="es-ES" w:eastAsia="es-ES"/>
    </w:rPr>
  </w:style>
  <w:style w:type="paragraph" w:styleId="Asuntodelcomentario">
    <w:name w:val="annotation subject"/>
    <w:basedOn w:val="Textocomentario"/>
    <w:next w:val="Textocomentario"/>
    <w:link w:val="AsuntodelcomentarioCar"/>
    <w:rsid w:val="00745194"/>
    <w:rPr>
      <w:b/>
      <w:bCs/>
    </w:rPr>
  </w:style>
  <w:style w:type="character" w:customStyle="1" w:styleId="AsuntodelcomentarioCar">
    <w:name w:val="Asunto del comentario Car"/>
    <w:link w:val="Asuntodelcomentario"/>
    <w:rsid w:val="00745194"/>
    <w:rPr>
      <w:b/>
      <w:bCs/>
      <w:lang w:val="es-ES" w:eastAsia="es-ES"/>
    </w:rPr>
  </w:style>
  <w:style w:type="paragraph" w:styleId="Textodeglobo">
    <w:name w:val="Balloon Text"/>
    <w:basedOn w:val="Normal"/>
    <w:link w:val="TextodegloboCar"/>
    <w:rsid w:val="00745194"/>
    <w:rPr>
      <w:rFonts w:ascii="Segoe UI" w:hAnsi="Segoe UI" w:cs="Segoe UI"/>
      <w:sz w:val="18"/>
      <w:szCs w:val="18"/>
    </w:rPr>
  </w:style>
  <w:style w:type="character" w:customStyle="1" w:styleId="TextodegloboCar">
    <w:name w:val="Texto de globo Car"/>
    <w:link w:val="Textodeglobo"/>
    <w:rsid w:val="00745194"/>
    <w:rPr>
      <w:rFonts w:ascii="Segoe UI" w:hAnsi="Segoe UI" w:cs="Segoe UI"/>
      <w:sz w:val="18"/>
      <w:szCs w:val="18"/>
      <w:lang w:val="es-ES" w:eastAsia="es-ES"/>
    </w:rPr>
  </w:style>
  <w:style w:type="paragraph" w:customStyle="1" w:styleId="Default">
    <w:name w:val="Default"/>
    <w:rsid w:val="00C80B21"/>
    <w:pPr>
      <w:autoSpaceDE w:val="0"/>
      <w:autoSpaceDN w:val="0"/>
      <w:adjustRightInd w:val="0"/>
    </w:pPr>
    <w:rPr>
      <w:color w:val="000000"/>
      <w:sz w:val="24"/>
      <w:szCs w:val="24"/>
      <w:lang w:val="en-US" w:eastAsia="en-US"/>
    </w:rPr>
  </w:style>
  <w:style w:type="table" w:styleId="Tablaconcuadrcula">
    <w:name w:val="Table Grid"/>
    <w:basedOn w:val="Tablanormal"/>
    <w:rsid w:val="001D7B3E"/>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semiHidden/>
    <w:rsid w:val="001D7B3E"/>
    <w:rPr>
      <w:rFonts w:asciiTheme="majorHAnsi" w:eastAsiaTheme="majorEastAsia" w:hAnsiTheme="majorHAnsi" w:cstheme="majorBidi"/>
      <w:color w:val="2E74B5" w:themeColor="accent1" w:themeShade="BF"/>
      <w:sz w:val="26"/>
      <w:szCs w:val="26"/>
    </w:rPr>
  </w:style>
  <w:style w:type="table" w:customStyle="1" w:styleId="TableGrid">
    <w:name w:val="TableGrid"/>
    <w:rsid w:val="00E248C7"/>
    <w:rPr>
      <w:rFonts w:asciiTheme="minorHAnsi" w:hAnsiTheme="minorHAnsi" w:cstheme="minorBidi"/>
      <w:sz w:val="22"/>
      <w:szCs w:val="22"/>
      <w:lang w:val="en-US" w:eastAsia="en-US"/>
    </w:rPr>
    <w:tblPr>
      <w:tblCellMar>
        <w:top w:w="0" w:type="dxa"/>
        <w:left w:w="0" w:type="dxa"/>
        <w:bottom w:w="0" w:type="dxa"/>
        <w:right w:w="0" w:type="dxa"/>
      </w:tblCellMar>
    </w:tblPr>
  </w:style>
  <w:style w:type="paragraph" w:styleId="Descripcin">
    <w:name w:val="caption"/>
    <w:basedOn w:val="Normal"/>
    <w:next w:val="Normal"/>
    <w:unhideWhenUsed/>
    <w:qFormat/>
    <w:rsid w:val="005038D5"/>
    <w:pPr>
      <w:spacing w:after="200"/>
    </w:pPr>
    <w:rPr>
      <w:i/>
      <w:iCs/>
      <w:color w:val="44546A" w:themeColor="text2"/>
      <w:sz w:val="18"/>
      <w:szCs w:val="18"/>
    </w:rPr>
  </w:style>
  <w:style w:type="character" w:customStyle="1" w:styleId="Ttulo1Car">
    <w:name w:val="Título 1 Car"/>
    <w:basedOn w:val="Fuentedeprrafopredeter"/>
    <w:link w:val="Ttulo1"/>
    <w:uiPriority w:val="9"/>
    <w:rsid w:val="00881561"/>
    <w:rPr>
      <w:rFonts w:asciiTheme="majorHAnsi" w:eastAsiaTheme="majorEastAsia" w:hAnsiTheme="majorHAnsi" w:cstheme="majorBidi"/>
      <w:color w:val="2E74B5" w:themeColor="accent1" w:themeShade="BF"/>
      <w:sz w:val="32"/>
      <w:szCs w:val="32"/>
    </w:rPr>
  </w:style>
  <w:style w:type="paragraph" w:styleId="Bibliografa">
    <w:name w:val="Bibliography"/>
    <w:basedOn w:val="Normal"/>
    <w:next w:val="Normal"/>
    <w:uiPriority w:val="37"/>
    <w:unhideWhenUsed/>
    <w:rsid w:val="008815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81645">
      <w:bodyDiv w:val="1"/>
      <w:marLeft w:val="0"/>
      <w:marRight w:val="0"/>
      <w:marTop w:val="0"/>
      <w:marBottom w:val="0"/>
      <w:divBdr>
        <w:top w:val="none" w:sz="0" w:space="0" w:color="auto"/>
        <w:left w:val="none" w:sz="0" w:space="0" w:color="auto"/>
        <w:bottom w:val="none" w:sz="0" w:space="0" w:color="auto"/>
        <w:right w:val="none" w:sz="0" w:space="0" w:color="auto"/>
      </w:divBdr>
    </w:div>
    <w:div w:id="8069225">
      <w:bodyDiv w:val="1"/>
      <w:marLeft w:val="0"/>
      <w:marRight w:val="0"/>
      <w:marTop w:val="0"/>
      <w:marBottom w:val="0"/>
      <w:divBdr>
        <w:top w:val="none" w:sz="0" w:space="0" w:color="auto"/>
        <w:left w:val="none" w:sz="0" w:space="0" w:color="auto"/>
        <w:bottom w:val="none" w:sz="0" w:space="0" w:color="auto"/>
        <w:right w:val="none" w:sz="0" w:space="0" w:color="auto"/>
      </w:divBdr>
    </w:div>
    <w:div w:id="39985820">
      <w:bodyDiv w:val="1"/>
      <w:marLeft w:val="0"/>
      <w:marRight w:val="0"/>
      <w:marTop w:val="0"/>
      <w:marBottom w:val="0"/>
      <w:divBdr>
        <w:top w:val="none" w:sz="0" w:space="0" w:color="auto"/>
        <w:left w:val="none" w:sz="0" w:space="0" w:color="auto"/>
        <w:bottom w:val="none" w:sz="0" w:space="0" w:color="auto"/>
        <w:right w:val="none" w:sz="0" w:space="0" w:color="auto"/>
      </w:divBdr>
    </w:div>
    <w:div w:id="195778028">
      <w:bodyDiv w:val="1"/>
      <w:marLeft w:val="0"/>
      <w:marRight w:val="0"/>
      <w:marTop w:val="0"/>
      <w:marBottom w:val="0"/>
      <w:divBdr>
        <w:top w:val="none" w:sz="0" w:space="0" w:color="auto"/>
        <w:left w:val="none" w:sz="0" w:space="0" w:color="auto"/>
        <w:bottom w:val="none" w:sz="0" w:space="0" w:color="auto"/>
        <w:right w:val="none" w:sz="0" w:space="0" w:color="auto"/>
      </w:divBdr>
    </w:div>
    <w:div w:id="201216384">
      <w:bodyDiv w:val="1"/>
      <w:marLeft w:val="0"/>
      <w:marRight w:val="0"/>
      <w:marTop w:val="0"/>
      <w:marBottom w:val="0"/>
      <w:divBdr>
        <w:top w:val="none" w:sz="0" w:space="0" w:color="auto"/>
        <w:left w:val="none" w:sz="0" w:space="0" w:color="auto"/>
        <w:bottom w:val="none" w:sz="0" w:space="0" w:color="auto"/>
        <w:right w:val="none" w:sz="0" w:space="0" w:color="auto"/>
      </w:divBdr>
    </w:div>
    <w:div w:id="228883911">
      <w:bodyDiv w:val="1"/>
      <w:marLeft w:val="0"/>
      <w:marRight w:val="0"/>
      <w:marTop w:val="0"/>
      <w:marBottom w:val="0"/>
      <w:divBdr>
        <w:top w:val="none" w:sz="0" w:space="0" w:color="auto"/>
        <w:left w:val="none" w:sz="0" w:space="0" w:color="auto"/>
        <w:bottom w:val="none" w:sz="0" w:space="0" w:color="auto"/>
        <w:right w:val="none" w:sz="0" w:space="0" w:color="auto"/>
      </w:divBdr>
    </w:div>
    <w:div w:id="371148262">
      <w:bodyDiv w:val="1"/>
      <w:marLeft w:val="0"/>
      <w:marRight w:val="0"/>
      <w:marTop w:val="0"/>
      <w:marBottom w:val="0"/>
      <w:divBdr>
        <w:top w:val="none" w:sz="0" w:space="0" w:color="auto"/>
        <w:left w:val="none" w:sz="0" w:space="0" w:color="auto"/>
        <w:bottom w:val="none" w:sz="0" w:space="0" w:color="auto"/>
        <w:right w:val="none" w:sz="0" w:space="0" w:color="auto"/>
      </w:divBdr>
    </w:div>
    <w:div w:id="380130555">
      <w:bodyDiv w:val="1"/>
      <w:marLeft w:val="0"/>
      <w:marRight w:val="0"/>
      <w:marTop w:val="0"/>
      <w:marBottom w:val="0"/>
      <w:divBdr>
        <w:top w:val="none" w:sz="0" w:space="0" w:color="auto"/>
        <w:left w:val="none" w:sz="0" w:space="0" w:color="auto"/>
        <w:bottom w:val="none" w:sz="0" w:space="0" w:color="auto"/>
        <w:right w:val="none" w:sz="0" w:space="0" w:color="auto"/>
      </w:divBdr>
    </w:div>
    <w:div w:id="391974298">
      <w:bodyDiv w:val="1"/>
      <w:marLeft w:val="0"/>
      <w:marRight w:val="0"/>
      <w:marTop w:val="0"/>
      <w:marBottom w:val="0"/>
      <w:divBdr>
        <w:top w:val="none" w:sz="0" w:space="0" w:color="auto"/>
        <w:left w:val="none" w:sz="0" w:space="0" w:color="auto"/>
        <w:bottom w:val="none" w:sz="0" w:space="0" w:color="auto"/>
        <w:right w:val="none" w:sz="0" w:space="0" w:color="auto"/>
      </w:divBdr>
    </w:div>
    <w:div w:id="438527729">
      <w:bodyDiv w:val="1"/>
      <w:marLeft w:val="0"/>
      <w:marRight w:val="0"/>
      <w:marTop w:val="0"/>
      <w:marBottom w:val="0"/>
      <w:divBdr>
        <w:top w:val="none" w:sz="0" w:space="0" w:color="auto"/>
        <w:left w:val="none" w:sz="0" w:space="0" w:color="auto"/>
        <w:bottom w:val="none" w:sz="0" w:space="0" w:color="auto"/>
        <w:right w:val="none" w:sz="0" w:space="0" w:color="auto"/>
      </w:divBdr>
    </w:div>
    <w:div w:id="500705043">
      <w:bodyDiv w:val="1"/>
      <w:marLeft w:val="0"/>
      <w:marRight w:val="0"/>
      <w:marTop w:val="0"/>
      <w:marBottom w:val="0"/>
      <w:divBdr>
        <w:top w:val="none" w:sz="0" w:space="0" w:color="auto"/>
        <w:left w:val="none" w:sz="0" w:space="0" w:color="auto"/>
        <w:bottom w:val="none" w:sz="0" w:space="0" w:color="auto"/>
        <w:right w:val="none" w:sz="0" w:space="0" w:color="auto"/>
      </w:divBdr>
    </w:div>
    <w:div w:id="525290320">
      <w:bodyDiv w:val="1"/>
      <w:marLeft w:val="0"/>
      <w:marRight w:val="0"/>
      <w:marTop w:val="0"/>
      <w:marBottom w:val="0"/>
      <w:divBdr>
        <w:top w:val="none" w:sz="0" w:space="0" w:color="auto"/>
        <w:left w:val="none" w:sz="0" w:space="0" w:color="auto"/>
        <w:bottom w:val="none" w:sz="0" w:space="0" w:color="auto"/>
        <w:right w:val="none" w:sz="0" w:space="0" w:color="auto"/>
      </w:divBdr>
    </w:div>
    <w:div w:id="541018919">
      <w:bodyDiv w:val="1"/>
      <w:marLeft w:val="0"/>
      <w:marRight w:val="0"/>
      <w:marTop w:val="0"/>
      <w:marBottom w:val="0"/>
      <w:divBdr>
        <w:top w:val="none" w:sz="0" w:space="0" w:color="auto"/>
        <w:left w:val="none" w:sz="0" w:space="0" w:color="auto"/>
        <w:bottom w:val="none" w:sz="0" w:space="0" w:color="auto"/>
        <w:right w:val="none" w:sz="0" w:space="0" w:color="auto"/>
      </w:divBdr>
    </w:div>
    <w:div w:id="541868506">
      <w:bodyDiv w:val="1"/>
      <w:marLeft w:val="0"/>
      <w:marRight w:val="0"/>
      <w:marTop w:val="0"/>
      <w:marBottom w:val="0"/>
      <w:divBdr>
        <w:top w:val="none" w:sz="0" w:space="0" w:color="auto"/>
        <w:left w:val="none" w:sz="0" w:space="0" w:color="auto"/>
        <w:bottom w:val="none" w:sz="0" w:space="0" w:color="auto"/>
        <w:right w:val="none" w:sz="0" w:space="0" w:color="auto"/>
      </w:divBdr>
    </w:div>
    <w:div w:id="551498670">
      <w:bodyDiv w:val="1"/>
      <w:marLeft w:val="0"/>
      <w:marRight w:val="0"/>
      <w:marTop w:val="0"/>
      <w:marBottom w:val="0"/>
      <w:divBdr>
        <w:top w:val="none" w:sz="0" w:space="0" w:color="auto"/>
        <w:left w:val="none" w:sz="0" w:space="0" w:color="auto"/>
        <w:bottom w:val="none" w:sz="0" w:space="0" w:color="auto"/>
        <w:right w:val="none" w:sz="0" w:space="0" w:color="auto"/>
      </w:divBdr>
    </w:div>
    <w:div w:id="552161965">
      <w:bodyDiv w:val="1"/>
      <w:marLeft w:val="0"/>
      <w:marRight w:val="0"/>
      <w:marTop w:val="0"/>
      <w:marBottom w:val="0"/>
      <w:divBdr>
        <w:top w:val="none" w:sz="0" w:space="0" w:color="auto"/>
        <w:left w:val="none" w:sz="0" w:space="0" w:color="auto"/>
        <w:bottom w:val="none" w:sz="0" w:space="0" w:color="auto"/>
        <w:right w:val="none" w:sz="0" w:space="0" w:color="auto"/>
      </w:divBdr>
    </w:div>
    <w:div w:id="578558892">
      <w:bodyDiv w:val="1"/>
      <w:marLeft w:val="0"/>
      <w:marRight w:val="0"/>
      <w:marTop w:val="0"/>
      <w:marBottom w:val="0"/>
      <w:divBdr>
        <w:top w:val="none" w:sz="0" w:space="0" w:color="auto"/>
        <w:left w:val="none" w:sz="0" w:space="0" w:color="auto"/>
        <w:bottom w:val="none" w:sz="0" w:space="0" w:color="auto"/>
        <w:right w:val="none" w:sz="0" w:space="0" w:color="auto"/>
      </w:divBdr>
    </w:div>
    <w:div w:id="584995780">
      <w:bodyDiv w:val="1"/>
      <w:marLeft w:val="0"/>
      <w:marRight w:val="0"/>
      <w:marTop w:val="0"/>
      <w:marBottom w:val="0"/>
      <w:divBdr>
        <w:top w:val="none" w:sz="0" w:space="0" w:color="auto"/>
        <w:left w:val="none" w:sz="0" w:space="0" w:color="auto"/>
        <w:bottom w:val="none" w:sz="0" w:space="0" w:color="auto"/>
        <w:right w:val="none" w:sz="0" w:space="0" w:color="auto"/>
      </w:divBdr>
    </w:div>
    <w:div w:id="590819471">
      <w:bodyDiv w:val="1"/>
      <w:marLeft w:val="0"/>
      <w:marRight w:val="0"/>
      <w:marTop w:val="0"/>
      <w:marBottom w:val="0"/>
      <w:divBdr>
        <w:top w:val="none" w:sz="0" w:space="0" w:color="auto"/>
        <w:left w:val="none" w:sz="0" w:space="0" w:color="auto"/>
        <w:bottom w:val="none" w:sz="0" w:space="0" w:color="auto"/>
        <w:right w:val="none" w:sz="0" w:space="0" w:color="auto"/>
      </w:divBdr>
    </w:div>
    <w:div w:id="603654752">
      <w:bodyDiv w:val="1"/>
      <w:marLeft w:val="0"/>
      <w:marRight w:val="0"/>
      <w:marTop w:val="0"/>
      <w:marBottom w:val="0"/>
      <w:divBdr>
        <w:top w:val="none" w:sz="0" w:space="0" w:color="auto"/>
        <w:left w:val="none" w:sz="0" w:space="0" w:color="auto"/>
        <w:bottom w:val="none" w:sz="0" w:space="0" w:color="auto"/>
        <w:right w:val="none" w:sz="0" w:space="0" w:color="auto"/>
      </w:divBdr>
    </w:div>
    <w:div w:id="633946649">
      <w:bodyDiv w:val="1"/>
      <w:marLeft w:val="0"/>
      <w:marRight w:val="0"/>
      <w:marTop w:val="0"/>
      <w:marBottom w:val="0"/>
      <w:divBdr>
        <w:top w:val="none" w:sz="0" w:space="0" w:color="auto"/>
        <w:left w:val="none" w:sz="0" w:space="0" w:color="auto"/>
        <w:bottom w:val="none" w:sz="0" w:space="0" w:color="auto"/>
        <w:right w:val="none" w:sz="0" w:space="0" w:color="auto"/>
      </w:divBdr>
    </w:div>
    <w:div w:id="682708859">
      <w:bodyDiv w:val="1"/>
      <w:marLeft w:val="0"/>
      <w:marRight w:val="0"/>
      <w:marTop w:val="0"/>
      <w:marBottom w:val="0"/>
      <w:divBdr>
        <w:top w:val="none" w:sz="0" w:space="0" w:color="auto"/>
        <w:left w:val="none" w:sz="0" w:space="0" w:color="auto"/>
        <w:bottom w:val="none" w:sz="0" w:space="0" w:color="auto"/>
        <w:right w:val="none" w:sz="0" w:space="0" w:color="auto"/>
      </w:divBdr>
    </w:div>
    <w:div w:id="696152544">
      <w:bodyDiv w:val="1"/>
      <w:marLeft w:val="0"/>
      <w:marRight w:val="0"/>
      <w:marTop w:val="0"/>
      <w:marBottom w:val="0"/>
      <w:divBdr>
        <w:top w:val="none" w:sz="0" w:space="0" w:color="auto"/>
        <w:left w:val="none" w:sz="0" w:space="0" w:color="auto"/>
        <w:bottom w:val="none" w:sz="0" w:space="0" w:color="auto"/>
        <w:right w:val="none" w:sz="0" w:space="0" w:color="auto"/>
      </w:divBdr>
    </w:div>
    <w:div w:id="743524340">
      <w:bodyDiv w:val="1"/>
      <w:marLeft w:val="0"/>
      <w:marRight w:val="0"/>
      <w:marTop w:val="0"/>
      <w:marBottom w:val="0"/>
      <w:divBdr>
        <w:top w:val="none" w:sz="0" w:space="0" w:color="auto"/>
        <w:left w:val="none" w:sz="0" w:space="0" w:color="auto"/>
        <w:bottom w:val="none" w:sz="0" w:space="0" w:color="auto"/>
        <w:right w:val="none" w:sz="0" w:space="0" w:color="auto"/>
      </w:divBdr>
    </w:div>
    <w:div w:id="800415068">
      <w:bodyDiv w:val="1"/>
      <w:marLeft w:val="0"/>
      <w:marRight w:val="0"/>
      <w:marTop w:val="0"/>
      <w:marBottom w:val="0"/>
      <w:divBdr>
        <w:top w:val="none" w:sz="0" w:space="0" w:color="auto"/>
        <w:left w:val="none" w:sz="0" w:space="0" w:color="auto"/>
        <w:bottom w:val="none" w:sz="0" w:space="0" w:color="auto"/>
        <w:right w:val="none" w:sz="0" w:space="0" w:color="auto"/>
      </w:divBdr>
    </w:div>
    <w:div w:id="869880524">
      <w:bodyDiv w:val="1"/>
      <w:marLeft w:val="0"/>
      <w:marRight w:val="0"/>
      <w:marTop w:val="0"/>
      <w:marBottom w:val="0"/>
      <w:divBdr>
        <w:top w:val="none" w:sz="0" w:space="0" w:color="auto"/>
        <w:left w:val="none" w:sz="0" w:space="0" w:color="auto"/>
        <w:bottom w:val="none" w:sz="0" w:space="0" w:color="auto"/>
        <w:right w:val="none" w:sz="0" w:space="0" w:color="auto"/>
      </w:divBdr>
    </w:div>
    <w:div w:id="877208202">
      <w:bodyDiv w:val="1"/>
      <w:marLeft w:val="0"/>
      <w:marRight w:val="0"/>
      <w:marTop w:val="0"/>
      <w:marBottom w:val="0"/>
      <w:divBdr>
        <w:top w:val="none" w:sz="0" w:space="0" w:color="auto"/>
        <w:left w:val="none" w:sz="0" w:space="0" w:color="auto"/>
        <w:bottom w:val="none" w:sz="0" w:space="0" w:color="auto"/>
        <w:right w:val="none" w:sz="0" w:space="0" w:color="auto"/>
      </w:divBdr>
    </w:div>
    <w:div w:id="925070646">
      <w:bodyDiv w:val="1"/>
      <w:marLeft w:val="0"/>
      <w:marRight w:val="0"/>
      <w:marTop w:val="0"/>
      <w:marBottom w:val="0"/>
      <w:divBdr>
        <w:top w:val="none" w:sz="0" w:space="0" w:color="auto"/>
        <w:left w:val="none" w:sz="0" w:space="0" w:color="auto"/>
        <w:bottom w:val="none" w:sz="0" w:space="0" w:color="auto"/>
        <w:right w:val="none" w:sz="0" w:space="0" w:color="auto"/>
      </w:divBdr>
    </w:div>
    <w:div w:id="927617962">
      <w:bodyDiv w:val="1"/>
      <w:marLeft w:val="0"/>
      <w:marRight w:val="0"/>
      <w:marTop w:val="0"/>
      <w:marBottom w:val="0"/>
      <w:divBdr>
        <w:top w:val="none" w:sz="0" w:space="0" w:color="auto"/>
        <w:left w:val="none" w:sz="0" w:space="0" w:color="auto"/>
        <w:bottom w:val="none" w:sz="0" w:space="0" w:color="auto"/>
        <w:right w:val="none" w:sz="0" w:space="0" w:color="auto"/>
      </w:divBdr>
    </w:div>
    <w:div w:id="932468911">
      <w:bodyDiv w:val="1"/>
      <w:marLeft w:val="0"/>
      <w:marRight w:val="0"/>
      <w:marTop w:val="0"/>
      <w:marBottom w:val="0"/>
      <w:divBdr>
        <w:top w:val="none" w:sz="0" w:space="0" w:color="auto"/>
        <w:left w:val="none" w:sz="0" w:space="0" w:color="auto"/>
        <w:bottom w:val="none" w:sz="0" w:space="0" w:color="auto"/>
        <w:right w:val="none" w:sz="0" w:space="0" w:color="auto"/>
      </w:divBdr>
    </w:div>
    <w:div w:id="935021970">
      <w:bodyDiv w:val="1"/>
      <w:marLeft w:val="0"/>
      <w:marRight w:val="0"/>
      <w:marTop w:val="0"/>
      <w:marBottom w:val="0"/>
      <w:divBdr>
        <w:top w:val="none" w:sz="0" w:space="0" w:color="auto"/>
        <w:left w:val="none" w:sz="0" w:space="0" w:color="auto"/>
        <w:bottom w:val="none" w:sz="0" w:space="0" w:color="auto"/>
        <w:right w:val="none" w:sz="0" w:space="0" w:color="auto"/>
      </w:divBdr>
    </w:div>
    <w:div w:id="1019350216">
      <w:bodyDiv w:val="1"/>
      <w:marLeft w:val="0"/>
      <w:marRight w:val="0"/>
      <w:marTop w:val="0"/>
      <w:marBottom w:val="0"/>
      <w:divBdr>
        <w:top w:val="none" w:sz="0" w:space="0" w:color="auto"/>
        <w:left w:val="none" w:sz="0" w:space="0" w:color="auto"/>
        <w:bottom w:val="none" w:sz="0" w:space="0" w:color="auto"/>
        <w:right w:val="none" w:sz="0" w:space="0" w:color="auto"/>
      </w:divBdr>
    </w:div>
    <w:div w:id="1070153285">
      <w:bodyDiv w:val="1"/>
      <w:marLeft w:val="0"/>
      <w:marRight w:val="0"/>
      <w:marTop w:val="0"/>
      <w:marBottom w:val="0"/>
      <w:divBdr>
        <w:top w:val="none" w:sz="0" w:space="0" w:color="auto"/>
        <w:left w:val="none" w:sz="0" w:space="0" w:color="auto"/>
        <w:bottom w:val="none" w:sz="0" w:space="0" w:color="auto"/>
        <w:right w:val="none" w:sz="0" w:space="0" w:color="auto"/>
      </w:divBdr>
    </w:div>
    <w:div w:id="1138260458">
      <w:bodyDiv w:val="1"/>
      <w:marLeft w:val="0"/>
      <w:marRight w:val="0"/>
      <w:marTop w:val="0"/>
      <w:marBottom w:val="0"/>
      <w:divBdr>
        <w:top w:val="none" w:sz="0" w:space="0" w:color="auto"/>
        <w:left w:val="none" w:sz="0" w:space="0" w:color="auto"/>
        <w:bottom w:val="none" w:sz="0" w:space="0" w:color="auto"/>
        <w:right w:val="none" w:sz="0" w:space="0" w:color="auto"/>
      </w:divBdr>
    </w:div>
    <w:div w:id="1172181964">
      <w:bodyDiv w:val="1"/>
      <w:marLeft w:val="0"/>
      <w:marRight w:val="0"/>
      <w:marTop w:val="0"/>
      <w:marBottom w:val="0"/>
      <w:divBdr>
        <w:top w:val="none" w:sz="0" w:space="0" w:color="auto"/>
        <w:left w:val="none" w:sz="0" w:space="0" w:color="auto"/>
        <w:bottom w:val="none" w:sz="0" w:space="0" w:color="auto"/>
        <w:right w:val="none" w:sz="0" w:space="0" w:color="auto"/>
      </w:divBdr>
    </w:div>
    <w:div w:id="1202010265">
      <w:bodyDiv w:val="1"/>
      <w:marLeft w:val="0"/>
      <w:marRight w:val="0"/>
      <w:marTop w:val="0"/>
      <w:marBottom w:val="0"/>
      <w:divBdr>
        <w:top w:val="none" w:sz="0" w:space="0" w:color="auto"/>
        <w:left w:val="none" w:sz="0" w:space="0" w:color="auto"/>
        <w:bottom w:val="none" w:sz="0" w:space="0" w:color="auto"/>
        <w:right w:val="none" w:sz="0" w:space="0" w:color="auto"/>
      </w:divBdr>
    </w:div>
    <w:div w:id="1279293811">
      <w:bodyDiv w:val="1"/>
      <w:marLeft w:val="0"/>
      <w:marRight w:val="0"/>
      <w:marTop w:val="0"/>
      <w:marBottom w:val="0"/>
      <w:divBdr>
        <w:top w:val="none" w:sz="0" w:space="0" w:color="auto"/>
        <w:left w:val="none" w:sz="0" w:space="0" w:color="auto"/>
        <w:bottom w:val="none" w:sz="0" w:space="0" w:color="auto"/>
        <w:right w:val="none" w:sz="0" w:space="0" w:color="auto"/>
      </w:divBdr>
    </w:div>
    <w:div w:id="1318875744">
      <w:bodyDiv w:val="1"/>
      <w:marLeft w:val="0"/>
      <w:marRight w:val="0"/>
      <w:marTop w:val="0"/>
      <w:marBottom w:val="0"/>
      <w:divBdr>
        <w:top w:val="none" w:sz="0" w:space="0" w:color="auto"/>
        <w:left w:val="none" w:sz="0" w:space="0" w:color="auto"/>
        <w:bottom w:val="none" w:sz="0" w:space="0" w:color="auto"/>
        <w:right w:val="none" w:sz="0" w:space="0" w:color="auto"/>
      </w:divBdr>
    </w:div>
    <w:div w:id="1345980977">
      <w:bodyDiv w:val="1"/>
      <w:marLeft w:val="0"/>
      <w:marRight w:val="0"/>
      <w:marTop w:val="0"/>
      <w:marBottom w:val="0"/>
      <w:divBdr>
        <w:top w:val="none" w:sz="0" w:space="0" w:color="auto"/>
        <w:left w:val="none" w:sz="0" w:space="0" w:color="auto"/>
        <w:bottom w:val="none" w:sz="0" w:space="0" w:color="auto"/>
        <w:right w:val="none" w:sz="0" w:space="0" w:color="auto"/>
      </w:divBdr>
    </w:div>
    <w:div w:id="1371879785">
      <w:bodyDiv w:val="1"/>
      <w:marLeft w:val="0"/>
      <w:marRight w:val="0"/>
      <w:marTop w:val="0"/>
      <w:marBottom w:val="0"/>
      <w:divBdr>
        <w:top w:val="none" w:sz="0" w:space="0" w:color="auto"/>
        <w:left w:val="none" w:sz="0" w:space="0" w:color="auto"/>
        <w:bottom w:val="none" w:sz="0" w:space="0" w:color="auto"/>
        <w:right w:val="none" w:sz="0" w:space="0" w:color="auto"/>
      </w:divBdr>
    </w:div>
    <w:div w:id="1381130941">
      <w:bodyDiv w:val="1"/>
      <w:marLeft w:val="0"/>
      <w:marRight w:val="0"/>
      <w:marTop w:val="0"/>
      <w:marBottom w:val="0"/>
      <w:divBdr>
        <w:top w:val="none" w:sz="0" w:space="0" w:color="auto"/>
        <w:left w:val="none" w:sz="0" w:space="0" w:color="auto"/>
        <w:bottom w:val="none" w:sz="0" w:space="0" w:color="auto"/>
        <w:right w:val="none" w:sz="0" w:space="0" w:color="auto"/>
      </w:divBdr>
    </w:div>
    <w:div w:id="1415126223">
      <w:bodyDiv w:val="1"/>
      <w:marLeft w:val="0"/>
      <w:marRight w:val="0"/>
      <w:marTop w:val="0"/>
      <w:marBottom w:val="0"/>
      <w:divBdr>
        <w:top w:val="none" w:sz="0" w:space="0" w:color="auto"/>
        <w:left w:val="none" w:sz="0" w:space="0" w:color="auto"/>
        <w:bottom w:val="none" w:sz="0" w:space="0" w:color="auto"/>
        <w:right w:val="none" w:sz="0" w:space="0" w:color="auto"/>
      </w:divBdr>
    </w:div>
    <w:div w:id="1456371716">
      <w:bodyDiv w:val="1"/>
      <w:marLeft w:val="0"/>
      <w:marRight w:val="0"/>
      <w:marTop w:val="0"/>
      <w:marBottom w:val="0"/>
      <w:divBdr>
        <w:top w:val="none" w:sz="0" w:space="0" w:color="auto"/>
        <w:left w:val="none" w:sz="0" w:space="0" w:color="auto"/>
        <w:bottom w:val="none" w:sz="0" w:space="0" w:color="auto"/>
        <w:right w:val="none" w:sz="0" w:space="0" w:color="auto"/>
      </w:divBdr>
    </w:div>
    <w:div w:id="1647851568">
      <w:bodyDiv w:val="1"/>
      <w:marLeft w:val="0"/>
      <w:marRight w:val="0"/>
      <w:marTop w:val="0"/>
      <w:marBottom w:val="0"/>
      <w:divBdr>
        <w:top w:val="none" w:sz="0" w:space="0" w:color="auto"/>
        <w:left w:val="none" w:sz="0" w:space="0" w:color="auto"/>
        <w:bottom w:val="none" w:sz="0" w:space="0" w:color="auto"/>
        <w:right w:val="none" w:sz="0" w:space="0" w:color="auto"/>
      </w:divBdr>
    </w:div>
    <w:div w:id="1717121705">
      <w:bodyDiv w:val="1"/>
      <w:marLeft w:val="0"/>
      <w:marRight w:val="0"/>
      <w:marTop w:val="0"/>
      <w:marBottom w:val="0"/>
      <w:divBdr>
        <w:top w:val="none" w:sz="0" w:space="0" w:color="auto"/>
        <w:left w:val="none" w:sz="0" w:space="0" w:color="auto"/>
        <w:bottom w:val="none" w:sz="0" w:space="0" w:color="auto"/>
        <w:right w:val="none" w:sz="0" w:space="0" w:color="auto"/>
      </w:divBdr>
    </w:div>
    <w:div w:id="1763605455">
      <w:bodyDiv w:val="1"/>
      <w:marLeft w:val="0"/>
      <w:marRight w:val="0"/>
      <w:marTop w:val="0"/>
      <w:marBottom w:val="0"/>
      <w:divBdr>
        <w:top w:val="none" w:sz="0" w:space="0" w:color="auto"/>
        <w:left w:val="none" w:sz="0" w:space="0" w:color="auto"/>
        <w:bottom w:val="none" w:sz="0" w:space="0" w:color="auto"/>
        <w:right w:val="none" w:sz="0" w:space="0" w:color="auto"/>
      </w:divBdr>
    </w:div>
    <w:div w:id="1769083653">
      <w:bodyDiv w:val="1"/>
      <w:marLeft w:val="0"/>
      <w:marRight w:val="0"/>
      <w:marTop w:val="0"/>
      <w:marBottom w:val="0"/>
      <w:divBdr>
        <w:top w:val="none" w:sz="0" w:space="0" w:color="auto"/>
        <w:left w:val="none" w:sz="0" w:space="0" w:color="auto"/>
        <w:bottom w:val="none" w:sz="0" w:space="0" w:color="auto"/>
        <w:right w:val="none" w:sz="0" w:space="0" w:color="auto"/>
      </w:divBdr>
    </w:div>
    <w:div w:id="1798795888">
      <w:bodyDiv w:val="1"/>
      <w:marLeft w:val="0"/>
      <w:marRight w:val="0"/>
      <w:marTop w:val="0"/>
      <w:marBottom w:val="0"/>
      <w:divBdr>
        <w:top w:val="none" w:sz="0" w:space="0" w:color="auto"/>
        <w:left w:val="none" w:sz="0" w:space="0" w:color="auto"/>
        <w:bottom w:val="none" w:sz="0" w:space="0" w:color="auto"/>
        <w:right w:val="none" w:sz="0" w:space="0" w:color="auto"/>
      </w:divBdr>
    </w:div>
    <w:div w:id="1821115016">
      <w:bodyDiv w:val="1"/>
      <w:marLeft w:val="0"/>
      <w:marRight w:val="0"/>
      <w:marTop w:val="0"/>
      <w:marBottom w:val="0"/>
      <w:divBdr>
        <w:top w:val="none" w:sz="0" w:space="0" w:color="auto"/>
        <w:left w:val="none" w:sz="0" w:space="0" w:color="auto"/>
        <w:bottom w:val="none" w:sz="0" w:space="0" w:color="auto"/>
        <w:right w:val="none" w:sz="0" w:space="0" w:color="auto"/>
      </w:divBdr>
    </w:div>
    <w:div w:id="1836142896">
      <w:bodyDiv w:val="1"/>
      <w:marLeft w:val="0"/>
      <w:marRight w:val="0"/>
      <w:marTop w:val="0"/>
      <w:marBottom w:val="0"/>
      <w:divBdr>
        <w:top w:val="none" w:sz="0" w:space="0" w:color="auto"/>
        <w:left w:val="none" w:sz="0" w:space="0" w:color="auto"/>
        <w:bottom w:val="none" w:sz="0" w:space="0" w:color="auto"/>
        <w:right w:val="none" w:sz="0" w:space="0" w:color="auto"/>
      </w:divBdr>
    </w:div>
    <w:div w:id="1836801234">
      <w:bodyDiv w:val="1"/>
      <w:marLeft w:val="0"/>
      <w:marRight w:val="0"/>
      <w:marTop w:val="0"/>
      <w:marBottom w:val="0"/>
      <w:divBdr>
        <w:top w:val="none" w:sz="0" w:space="0" w:color="auto"/>
        <w:left w:val="none" w:sz="0" w:space="0" w:color="auto"/>
        <w:bottom w:val="none" w:sz="0" w:space="0" w:color="auto"/>
        <w:right w:val="none" w:sz="0" w:space="0" w:color="auto"/>
      </w:divBdr>
    </w:div>
    <w:div w:id="1843007544">
      <w:bodyDiv w:val="1"/>
      <w:marLeft w:val="0"/>
      <w:marRight w:val="0"/>
      <w:marTop w:val="0"/>
      <w:marBottom w:val="0"/>
      <w:divBdr>
        <w:top w:val="none" w:sz="0" w:space="0" w:color="auto"/>
        <w:left w:val="none" w:sz="0" w:space="0" w:color="auto"/>
        <w:bottom w:val="none" w:sz="0" w:space="0" w:color="auto"/>
        <w:right w:val="none" w:sz="0" w:space="0" w:color="auto"/>
      </w:divBdr>
    </w:div>
    <w:div w:id="1843397851">
      <w:bodyDiv w:val="1"/>
      <w:marLeft w:val="0"/>
      <w:marRight w:val="0"/>
      <w:marTop w:val="0"/>
      <w:marBottom w:val="0"/>
      <w:divBdr>
        <w:top w:val="none" w:sz="0" w:space="0" w:color="auto"/>
        <w:left w:val="none" w:sz="0" w:space="0" w:color="auto"/>
        <w:bottom w:val="none" w:sz="0" w:space="0" w:color="auto"/>
        <w:right w:val="none" w:sz="0" w:space="0" w:color="auto"/>
      </w:divBdr>
    </w:div>
    <w:div w:id="1871450489">
      <w:bodyDiv w:val="1"/>
      <w:marLeft w:val="0"/>
      <w:marRight w:val="0"/>
      <w:marTop w:val="0"/>
      <w:marBottom w:val="0"/>
      <w:divBdr>
        <w:top w:val="none" w:sz="0" w:space="0" w:color="auto"/>
        <w:left w:val="none" w:sz="0" w:space="0" w:color="auto"/>
        <w:bottom w:val="none" w:sz="0" w:space="0" w:color="auto"/>
        <w:right w:val="none" w:sz="0" w:space="0" w:color="auto"/>
      </w:divBdr>
    </w:div>
    <w:div w:id="1872457084">
      <w:bodyDiv w:val="1"/>
      <w:marLeft w:val="0"/>
      <w:marRight w:val="0"/>
      <w:marTop w:val="0"/>
      <w:marBottom w:val="0"/>
      <w:divBdr>
        <w:top w:val="none" w:sz="0" w:space="0" w:color="auto"/>
        <w:left w:val="none" w:sz="0" w:space="0" w:color="auto"/>
        <w:bottom w:val="none" w:sz="0" w:space="0" w:color="auto"/>
        <w:right w:val="none" w:sz="0" w:space="0" w:color="auto"/>
      </w:divBdr>
    </w:div>
    <w:div w:id="1909800010">
      <w:bodyDiv w:val="1"/>
      <w:marLeft w:val="0"/>
      <w:marRight w:val="0"/>
      <w:marTop w:val="0"/>
      <w:marBottom w:val="0"/>
      <w:divBdr>
        <w:top w:val="none" w:sz="0" w:space="0" w:color="auto"/>
        <w:left w:val="none" w:sz="0" w:space="0" w:color="auto"/>
        <w:bottom w:val="none" w:sz="0" w:space="0" w:color="auto"/>
        <w:right w:val="none" w:sz="0" w:space="0" w:color="auto"/>
      </w:divBdr>
    </w:div>
    <w:div w:id="1910574319">
      <w:bodyDiv w:val="1"/>
      <w:marLeft w:val="0"/>
      <w:marRight w:val="0"/>
      <w:marTop w:val="0"/>
      <w:marBottom w:val="0"/>
      <w:divBdr>
        <w:top w:val="none" w:sz="0" w:space="0" w:color="auto"/>
        <w:left w:val="none" w:sz="0" w:space="0" w:color="auto"/>
        <w:bottom w:val="none" w:sz="0" w:space="0" w:color="auto"/>
        <w:right w:val="none" w:sz="0" w:space="0" w:color="auto"/>
      </w:divBdr>
    </w:div>
    <w:div w:id="2002587248">
      <w:bodyDiv w:val="1"/>
      <w:marLeft w:val="0"/>
      <w:marRight w:val="0"/>
      <w:marTop w:val="0"/>
      <w:marBottom w:val="0"/>
      <w:divBdr>
        <w:top w:val="none" w:sz="0" w:space="0" w:color="auto"/>
        <w:left w:val="none" w:sz="0" w:space="0" w:color="auto"/>
        <w:bottom w:val="none" w:sz="0" w:space="0" w:color="auto"/>
        <w:right w:val="none" w:sz="0" w:space="0" w:color="auto"/>
      </w:divBdr>
    </w:div>
    <w:div w:id="2003242274">
      <w:bodyDiv w:val="1"/>
      <w:marLeft w:val="0"/>
      <w:marRight w:val="0"/>
      <w:marTop w:val="0"/>
      <w:marBottom w:val="0"/>
      <w:divBdr>
        <w:top w:val="none" w:sz="0" w:space="0" w:color="auto"/>
        <w:left w:val="none" w:sz="0" w:space="0" w:color="auto"/>
        <w:bottom w:val="none" w:sz="0" w:space="0" w:color="auto"/>
        <w:right w:val="none" w:sz="0" w:space="0" w:color="auto"/>
      </w:divBdr>
    </w:div>
    <w:div w:id="2025787085">
      <w:bodyDiv w:val="1"/>
      <w:marLeft w:val="0"/>
      <w:marRight w:val="0"/>
      <w:marTop w:val="0"/>
      <w:marBottom w:val="0"/>
      <w:divBdr>
        <w:top w:val="none" w:sz="0" w:space="0" w:color="auto"/>
        <w:left w:val="none" w:sz="0" w:space="0" w:color="auto"/>
        <w:bottom w:val="none" w:sz="0" w:space="0" w:color="auto"/>
        <w:right w:val="none" w:sz="0" w:space="0" w:color="auto"/>
      </w:divBdr>
    </w:div>
    <w:div w:id="2114398545">
      <w:bodyDiv w:val="1"/>
      <w:marLeft w:val="0"/>
      <w:marRight w:val="0"/>
      <w:marTop w:val="0"/>
      <w:marBottom w:val="0"/>
      <w:divBdr>
        <w:top w:val="none" w:sz="0" w:space="0" w:color="auto"/>
        <w:left w:val="none" w:sz="0" w:space="0" w:color="auto"/>
        <w:bottom w:val="none" w:sz="0" w:space="0" w:color="auto"/>
        <w:right w:val="none" w:sz="0" w:space="0" w:color="auto"/>
      </w:divBdr>
    </w:div>
    <w:div w:id="2141680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velez4079@utm.edu.ec" TargetMode="External"/><Relationship Id="rId13" Type="http://schemas.openxmlformats.org/officeDocument/2006/relationships/hyperlink" Target="mailto:rtejeda@utm.edu.ec" TargetMode="External"/><Relationship Id="rId18" Type="http://schemas.openxmlformats.org/officeDocument/2006/relationships/image" Target="media/image4.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s://scholar.google.es/citations?hl=es&amp;pli=1&amp;" TargetMode="External"/><Relationship Id="rId17" Type="http://schemas.openxmlformats.org/officeDocument/2006/relationships/image" Target="media/image3.png"/><Relationship Id="rId25"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rcid.org/0000-0001-80989661" TargetMode="External"/><Relationship Id="rId24"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image" Target="media/image9.png"/><Relationship Id="rId28" Type="http://schemas.openxmlformats.org/officeDocument/2006/relationships/footer" Target="footer1.xml"/><Relationship Id="rId10" Type="http://schemas.openxmlformats.org/officeDocument/2006/relationships/hyperlink" Target="https://orcid.org/0000-0002-8721-5543" TargetMode="External"/><Relationship Id="rId19" Type="http://schemas.openxmlformats.org/officeDocument/2006/relationships/image" Target="media/image5.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velez4079@utm.edu.ec." TargetMode="External"/><Relationship Id="rId14" Type="http://schemas.openxmlformats.org/officeDocument/2006/relationships/hyperlink" Target="mailto:rtejeda2009@yahoo.es" TargetMode="External"/><Relationship Id="rId22" Type="http://schemas.openxmlformats.org/officeDocument/2006/relationships/image" Target="media/image8.png"/><Relationship Id="rId27" Type="http://schemas.openxmlformats.org/officeDocument/2006/relationships/header" Target="header2.xml"/><Relationship Id="rId30"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Cep21</b:Tag>
    <b:SourceType>Report</b:SourceType>
    <b:Guid>{F452303A-46EE-4569-8A05-04BA6FCC3EEA}</b:Guid>
    <b:Author>
      <b:Author>
        <b:NameList>
          <b:Person>
            <b:Last>Cepeda</b:Last>
          </b:Person>
          <b:Person>
            <b:Last>Jessica</b:Last>
          </b:Person>
          <b:Person>
            <b:Last>Solís</b:Last>
            <b:First>María</b:First>
          </b:Person>
        </b:NameList>
      </b:Author>
    </b:Author>
    <b:Title>Gamificación en el desarrollo de habilidades cognitivas en los niños de primer año de Educación General Básica del C.E.I. “Dolores Veintimilla de Galindo” en el año lectivo 2019 – 2020</b:Title>
    <b:Year>2021</b:Year>
    <b:Publisher>Universidad Nacional de Chimborazo</b:Publisher>
    <b:City>Riobamba</b:City>
    <b:Pages>1-221</b:Pages>
    <b:ThesisType>Tesis de Maestría</b:ThesisType>
    <b:URL>http://dspace.unach.edu.ec/bitstream/51000/8233/1/5.-TESIS%20Jessica%20Paulina%20Cepeda%20Asqui-DP-EU-TEI.pdf</b:URL>
    <b:RefOrder>2</b:RefOrder>
  </b:Source>
  <b:Source>
    <b:Tag>Lib19</b:Tag>
    <b:SourceType>Report</b:SourceType>
    <b:Guid>{6A6EA9F7-D088-45E5-BEA1-675D248AC3C0}</b:Guid>
    <b:Author>
      <b:Author>
        <b:NameList>
          <b:Person>
            <b:Last>Liberio</b:Last>
            <b:First>Xiomara</b:First>
          </b:Person>
        </b:NameList>
      </b:Author>
    </b:Author>
    <b:Title>Las técnicas de gamificación y su incidencia en el desarrollo de habilidades cognitivas en los niños y niñas de 4 a 5 años en el nivel de educación inicial de la escuela de educación básica "Isabel Herrera de Velázquez, durante el periodo lectivo 2019-202</b:Title>
    <b:Year>2019</b:Year>
    <b:Publisher>Universidad Estatal de Bolívar</b:Publisher>
    <b:City>Guaranda-Ecuador</b:City>
    <b:Pages>1-128</b:Pages>
    <b:ThesisType>Tesis de Maestría</b:ThesisType>
    <b:URL>https://dspace.ueb.edu.ec/bitstream/123456789/3279/1/TESIS%20XIOMARA%201.pdf</b:URL>
    <b:RefOrder>3</b:RefOrder>
  </b:Source>
  <b:Source>
    <b:Tag>Vyg78</b:Tag>
    <b:SourceType>Book</b:SourceType>
    <b:Guid>{E0891ED1-D7EA-4120-8151-A05C19BA01CA}</b:Guid>
    <b:Title>Mind in society: The development of higher psychological processes</b:Title>
    <b:Year>1978</b:Year>
    <b:Author>
      <b:Author>
        <b:NameList>
          <b:Person>
            <b:Last>Vygotsky</b:Last>
            <b:First>L</b:First>
          </b:Person>
        </b:NameList>
      </b:Author>
    </b:Author>
    <b:City>Cambridge</b:City>
    <b:Publisher>Harvard University Press</b:Publisher>
    <b:RefOrder>5</b:RefOrder>
  </b:Source>
  <b:Source>
    <b:Tag>Aus02</b:Tag>
    <b:SourceType>Book</b:SourceType>
    <b:Guid>{E622B5A8-DEAE-457C-ACCF-A00D680FD782}</b:Guid>
    <b:Title>Adquisición y retención del conocimiento:una perspectiva cognitiva</b:Title>
    <b:Year>2002</b:Year>
    <b:Publisher>Paidós</b:Publisher>
    <b:Author>
      <b:Author>
        <b:NameList>
          <b:Person>
            <b:Last>Ausubel</b:Last>
            <b:First>David</b:First>
          </b:Person>
        </b:NameList>
      </b:Author>
    </b:Author>
    <b:URL>https://books.google.com.ec/books?id=VufcU8hc5sYC&amp;printsec=frontcover&amp;hl=es&amp;source=gbs_ge_summary_r&amp;cad=0#v=onepage&amp;q&amp;f=false</b:URL>
    <b:RefOrder>4</b:RefOrder>
  </b:Source>
  <b:Source>
    <b:Tag>Par16</b:Tag>
    <b:SourceType>JournalArticle</b:SourceType>
    <b:Guid>{00D7B450-DD41-494D-BE53-58C105B68665}</b:Guid>
    <b:Author>
      <b:Author>
        <b:NameList>
          <b:Person>
            <b:Last>Parente</b:Last>
            <b:First>D.</b:First>
          </b:Person>
        </b:NameList>
      </b:Author>
    </b:Author>
    <b:Title>Gamificacion en la educación</b:Title>
    <b:JournalName>Gamificación en aulas universitarias</b:JournalName>
    <b:Year>2016</b:Year>
    <b:Pages>11-129</b:Pages>
    <b:LCID>en-US</b:LCID>
    <b:RefOrder>6</b:RefOrder>
  </b:Source>
  <b:Source>
    <b:Tag>Bru</b:Tag>
    <b:SourceType>JournalArticle</b:SourceType>
    <b:Guid>{99422EAD-0E7D-49CC-90AB-7A3901D78486}</b:Guid>
    <b:Author>
      <b:Author>
        <b:NameList>
          <b:Person>
            <b:Last>Brull</b:Last>
            <b:First>S</b:First>
            <b:Middle>y Finlayson, S</b:Middle>
          </b:Person>
        </b:NameList>
      </b:Author>
    </b:Author>
    <b:Title>Importance of Gamification in Increasing Learning</b:Title>
    <b:City>2016</b:City>
    <b:JournalName>J Contin Educ Nurs</b:JournalName>
    <b:Pages>372-375</b:Pages>
    <b:Volume>47</b:Volume>
    <b:Issue>8</b:Issue>
    <b:URL>https://pubmed.ncbi.nlm.nih.gov/27467313/</b:URL>
    <b:DOI>10.3928 / 00220124-20160715-09</b:DOI>
    <b:Year>2016</b:Year>
    <b:RefOrder>8</b:RefOrder>
  </b:Source>
  <b:Source>
    <b:Tag>Fue16</b:Tag>
    <b:SourceType>JournalArticle</b:SourceType>
    <b:Guid>{7E0A201E-6CCD-4702-A723-A1DBCA4B2AD4}</b:Guid>
    <b:Author>
      <b:Author>
        <b:NameList>
          <b:Person>
            <b:Last>Fuentes</b:Last>
            <b:First>M.</b:First>
          </b:Person>
          <b:Person>
            <b:Last>del Mar</b:Last>
            <b:First>M.</b:First>
          </b:Person>
          <b:Person>
            <b:Last>Carrasco</b:Last>
            <b:First>M.</b:First>
          </b:Person>
          <b:Person>
            <b:Last>Jiménez</b:Last>
            <b:First>A.</b:First>
          </b:Person>
          <b:Person>
            <b:Last>Martinez</b:Last>
            <b:First>A.</b:First>
          </b:Person>
          <b:Person>
            <b:Last>Soler</b:Last>
            <b:First>A.</b:First>
          </b:Person>
          <b:Person>
            <b:Last>Vaello</b:Last>
            <b:First>T.</b:First>
          </b:Person>
        </b:NameList>
      </b:Author>
    </b:Author>
    <b:Title>El aprendizaje basado en juegos: experiencias docentes en la aplicación de la plataforma virtual" Kahoot".</b:Title>
    <b:Year>2016</b:Year>
    <b:JournalName>Repositorio Institucional de la Universidad de Alicante</b:JournalName>
    <b:Pages>1239-54</b:Pages>
    <b:LCID>en-US</b:LCID>
    <b:RefOrder>10</b:RefOrder>
  </b:Source>
  <b:Source>
    <b:Tag>Bri152</b:Tag>
    <b:SourceType>JournalArticle</b:SourceType>
    <b:Guid>{165B7854-568A-4042-9065-D3BC2A1C1BB4}</b:Guid>
    <b:Author>
      <b:Author>
        <b:NameList>
          <b:Person>
            <b:Last>Brigham</b:Last>
            <b:First>T</b:First>
          </b:Person>
        </b:NameList>
      </b:Author>
    </b:Author>
    <b:Title>An Introduction to Gamification: Adding Game Elements for Engagement</b:Title>
    <b:JournalName>Servicios de rerefencia médica trimestral</b:JournalName>
    <b:Year>2015</b:Year>
    <b:Pages>471-80</b:Pages>
    <b:Volume>34</b:Volume>
    <b:Issue>4</b:Issue>
    <b:URL>https://pubmed.ncbi.nlm.nih.gov/26496401/</b:URL>
    <b:DOI>10.1080 / 02763869.2015.1082385</b:DOI>
    <b:RefOrder>9</b:RefOrder>
  </b:Source>
  <b:Source>
    <b:Tag>Ara18</b:Tag>
    <b:SourceType>JournalArticle</b:SourceType>
    <b:Guid>{89474465-0646-4937-861F-9BCAFE253A29}</b:Guid>
    <b:Author>
      <b:Author>
        <b:NameList>
          <b:Person>
            <b:Last>Aranda</b:Last>
            <b:First>M.</b:First>
          </b:Person>
          <b:Person>
            <b:Last>Caldera</b:Last>
            <b:First>J.</b:First>
          </b:Person>
        </b:NameList>
      </b:Author>
    </b:Author>
    <b:Title>Gamificar el aula como estrategia para fomentar las habilidades socioemocionales</b:Title>
    <b:JournalName>Educ@rnos</b:JournalName>
    <b:Year>2018</b:Year>
    <b:Pages>25-40</b:Pages>
    <b:Month>Septiembre </b:Month>
    <b:Day>15</b:Day>
    <b:Volume>31</b:Volume>
    <b:Issue>15</b:Issue>
    <b:LCID>en-US</b:LCID>
    <b:RefOrder>12</b:RefOrder>
  </b:Source>
  <b:Source>
    <b:Tag>MarcadorDePosición1</b:Tag>
    <b:SourceType>Book</b:SourceType>
    <b:Guid>{D9F369FB-1B7F-437A-9D05-5A8493624A0F}</b:Guid>
    <b:Title>Metodología de la investigación</b:Title>
    <b:Year>2019</b:Year>
    <b:City>Mexico</b:City>
    <b:Publisher>Universidad Naval</b:Publisher>
    <b:Author>
      <b:Author>
        <b:Corporate>Universidad Naval</b:Corporate>
      </b:Author>
    </b:Author>
    <b:URL>https://www.gob.mx/cms/uploads/attachment/file/133491/METODOLOGIA_DE_INVESTIGACION.pdf</b:URL>
    <b:LCID>en-US</b:LCID>
    <b:RefOrder>27</b:RefOrder>
  </b:Source>
  <b:Source>
    <b:Tag>Ort181</b:Tag>
    <b:SourceType>JournalArticle</b:SourceType>
    <b:Guid>{C31DD309-4EB7-4029-B86C-538B2ABD40C7}</b:Guid>
    <b:Author>
      <b:Author>
        <b:NameList>
          <b:Person>
            <b:Last>Ortiz</b:Last>
            <b:First>A.</b:First>
          </b:Person>
          <b:Person>
            <b:Last>Jordán</b:Last>
            <b:First>J.</b:First>
          </b:Person>
          <b:Person>
            <b:Last>Agredal</b:Last>
            <b:First>M.</b:First>
          </b:Person>
        </b:NameList>
      </b:Author>
    </b:Author>
    <b:Title>Gamificación en educación: una panorámica sobre el estado de la cuestión</b:Title>
    <b:JournalName>Educ. Pesqui</b:JournalName>
    <b:Year>2018</b:Year>
    <b:Publisher>Universidad de Jaén</b:Publisher>
    <b:Volume>44</b:Volume>
    <b:Issue>e173773</b:Issue>
    <b:URL>http://dx.doi.org/10.1590/S1678-4634201844173773</b:URL>
    <b:Pages>1-17</b:Pages>
    <b:RefOrder>11</b:RefOrder>
  </b:Source>
  <b:Source>
    <b:Tag>Che201</b:Tag>
    <b:SourceType>JournalArticle</b:SourceType>
    <b:Guid>{315B7E62-1417-43DF-85D4-794E1B465011}</b:Guid>
    <b:Title>Recomendaciones para implementar la gamificación para la salud mental y el bienestar</b:Title>
    <b:Year>2020</b:Year>
    <b:Author>
      <b:Author>
        <b:NameList>
          <b:Person>
            <b:Last>Cheng</b:Last>
            <b:First>Vanessa</b:First>
          </b:Person>
        </b:NameList>
      </b:Author>
    </b:Author>
    <b:JournalName>Fronteras en psicología vol. 11 586379.7 de diciembre de 2020, doi: 10.3389 / fpsyg.2020.586379</b:JournalName>
    <b:Pages>586379</b:Pages>
    <b:Volume>11</b:Volume>
    <b:URL>https://www.ncbi.nlm.nih.gov/pmc/articles/PMC7750532/</b:URL>
    <b:DOI>10.3389 / fpsyg.2020.586379</b:DOI>
    <b:RefOrder>16</b:RefOrder>
  </b:Source>
  <b:Source>
    <b:Tag>Ard19</b:Tag>
    <b:SourceType>Report</b:SourceType>
    <b:Guid>{D9579D4A-33F6-4369-8B59-5857F5ED058B}</b:Guid>
    <b:Title>Estrategia psicoeducativa para la prevención del bullying por homofobia</b:Title>
    <b:Year>2019</b:Year>
    <b:URL>https://repository.unab.edu.co/bitstream/handle/20.500.12749/6950/2019_Anexo1_Estrategia-Educacion%20e%20Inclusion.pdf?sequence=2&amp;isAllowed=y</b:URL>
    <b:Publisher>Universidad Autónoma de Bucaramanga Extensión UNISANGIL</b:Publisher>
    <b:City>Bucaramanga</b:City>
    <b:Author>
      <b:Author>
        <b:NameList>
          <b:Person>
            <b:Last>Ardila</b:Last>
            <b:First>Viviana</b:First>
            <b:Middle>y Daza Francisco</b:Middle>
          </b:Person>
        </b:NameList>
      </b:Author>
    </b:Author>
    <b:ThesisType>Tesis de Grado</b:ThesisType>
    <b:RefOrder>15</b:RefOrder>
  </b:Source>
  <b:Source>
    <b:Tag>Gui67</b:Tag>
    <b:SourceType>Book</b:SourceType>
    <b:Guid>{6437B583-25EF-4068-BAC6-C2199C5A4800}</b:Guid>
    <b:Title>Un repaso a la vida de este psicólogo, conocido por sus investigaciones sobre la creatividad</b:Title>
    <b:Year>1967</b:Year>
    <b:Author>
      <b:Author>
        <b:NameList>
          <b:Person>
            <b:Last>Guilford</b:Last>
            <b:First>Joy</b:First>
          </b:Person>
        </b:NameList>
      </b:Author>
    </b:Author>
    <b:Publisher>Universidad de Monterrey</b:Publisher>
    <b:URL>https://psicologiaymente.com/biografias/joy-paul-guilford</b:URL>
    <b:RefOrder>17</b:RefOrder>
  </b:Source>
  <b:Source>
    <b:Tag>Ada15</b:Tag>
    <b:SourceType>JournalArticle</b:SourceType>
    <b:Guid>{3ADF46B3-AA6C-4BB5-BA7C-C4532A2200D6}</b:Guid>
    <b:Title>Taxonomía de Bloom de los objetivos de aprendizaje cognitivo</b:Title>
    <b:Year>2015</b:Year>
    <b:Author>
      <b:Author>
        <b:NameList>
          <b:Person>
            <b:Last>Adams</b:Last>
            <b:First>Nancy</b:First>
          </b:Person>
        </b:NameList>
      </b:Author>
    </b:Author>
    <b:JournalName>Journal of the medical library association</b:JournalName>
    <b:Pages>152–153</b:Pages>
    <b:Volume>103</b:Volume>
    <b:Issue>3</b:Issue>
    <b:URL>https://www.ncbi.nlm.nih.gov/pmc/articles/PMC4511057/</b:URL>
    <b:DOI>10.3163/1536-5050.103.3.010</b:DOI>
    <b:RefOrder>18</b:RefOrder>
  </b:Source>
  <b:Source>
    <b:Tag>Frí17</b:Tag>
    <b:SourceType>JournalArticle</b:SourceType>
    <b:Guid>{A25F0548-52AB-471D-921D-687CB939860E}</b:Guid>
    <b:Author>
      <b:Author>
        <b:NameList>
          <b:Person>
            <b:Last>Frías</b:Last>
            <b:First>Maylín,</b:First>
            <b:Middle>Haro, Yinet y Artiles, Iliana</b:Middle>
          </b:Person>
        </b:NameList>
      </b:Author>
    </b:Author>
    <b:Title>Las habilidades cognitivas en el profesional de la Información desde la perspectiva de proyectos y asociaciones internacionales</b:Title>
    <b:JournalName>Investigación biotecnológica</b:JournalName>
    <b:Year>2017</b:Year>
    <b:Pages>201-219</b:Pages>
    <b:Volume>31</b:Volume>
    <b:Issue>71</b:Issue>
    <b:URL>http://www.scielo.org.mx/pdf/ib/v31n71/2448-8321-ib-31-71-00201.pdf</b:URL>
    <b:RefOrder>19</b:RefOrder>
  </b:Source>
  <b:Source>
    <b:Tag>Cap16</b:Tag>
    <b:SourceType>JournalArticle</b:SourceType>
    <b:Guid>{2518C42D-217E-49E9-959B-6E7D93A7848E}</b:Guid>
    <b:Author>
      <b:Author>
        <b:NameList>
          <b:Person>
            <b:Last>Capilla</b:Last>
            <b:First>R</b:First>
          </b:Person>
        </b:NameList>
      </b:Author>
    </b:Author>
    <b:Title>Habilidades cognitivas y aprendizaje significativo de la adición y sustracción de fracciones comunes</b:Title>
    <b:JournalName>Cuadernos de Investigación Educativa</b:JournalName>
    <b:Year>2016</b:Year>
    <b:Volume>7 </b:Volume>
    <b:Issue>2</b:Issue>
    <b:URL>https://revistas.ort.edu.uy/cuadernos-de-investigacion-educativa/article/view/2610</b:URL>
    <b:DOI>10.18861/cied.2016.7.2.2610</b:DOI>
    <b:RefOrder>20</b:RefOrder>
  </b:Source>
  <b:Source>
    <b:Tag>Elo16</b:Tag>
    <b:SourceType>JournalArticle</b:SourceType>
    <b:Guid>{F316D563-FD74-4E26-AB95-ED419916F577}</b:Guid>
    <b:Author>
      <b:Author>
        <b:NameList>
          <b:Person>
            <b:Last>Kostantze</b:Last>
            <b:First>Elorriaga</b:First>
          </b:Person>
          <b:Person>
            <b:Last>Batista</b:Last>
            <b:First>Judith</b:First>
          </b:Person>
          <b:Person>
            <b:Last>Lugo</b:Last>
            <b:First>María</b:First>
          </b:Person>
        </b:NameList>
      </b:Author>
    </b:Author>
    <b:Title>Perspectivas epistemológicas de los estilos cognitivos y su incidencia en la enseñanza de la comunicación gráfica</b:Title>
    <b:JournalName>REDHECS</b:JournalName>
    <b:Year>2016</b:Year>
    <b:Pages>1-76</b:Pages>
    <b:URL>http://www.scielo.edu.uy/scielo.php?script=sci_arttext&amp;pid=S1688-93042016000200004</b:URL>
    <b:Volume>21</b:Volume>
    <b:Issue>2</b:Issue>
    <b:RefOrder>21</b:RefOrder>
  </b:Source>
  <b:Source>
    <b:Tag>Cár17</b:Tag>
    <b:SourceType>JournalArticle</b:SourceType>
    <b:Guid>{982E2119-B8A4-4A36-AEAE-848D9DE64812}</b:Guid>
    <b:Title>Estrategias de estimulación cognitiva para la mejora de la atención en adultos con diagnóstico de discapacidad intelectual</b:Title>
    <b:JournalName>Resultado de investigación</b:JournalName>
    <b:Year>2017</b:Year>
    <b:Pages>1-21</b:Pages>
    <b:Author>
      <b:Author>
        <b:NameList>
          <b:Person>
            <b:Last>Cárdenas</b:Last>
            <b:First>Diana</b:First>
          </b:Person>
          <b:Person>
            <b:Last>Rojas</b:Last>
            <b:First>Andrés</b:First>
          </b:Person>
          <b:Person>
            <b:Last>Cuellas</b:Last>
            <b:First>Sandy</b:First>
            <b:Middle>y Castañeda, Nolly</b:Middle>
          </b:Person>
        </b:NameList>
      </b:Author>
    </b:Author>
    <b:Volume>11</b:Volume>
    <b:Issue>19</b:Issue>
    <b:URL>https://dialnet.unirioja.es/descarga/articulo/6109868.pdf</b:URL>
    <b:RefOrder>23</b:RefOrder>
  </b:Source>
  <b:Source>
    <b:Tag>Gar202</b:Tag>
    <b:SourceType>JournalArticle</b:SourceType>
    <b:Guid>{35D9F718-C07E-466C-8069-38A3C46E8E09}</b:Guid>
    <b:Author>
      <b:Author>
        <b:NameList>
          <b:Person>
            <b:Last>García</b:Last>
            <b:First>María</b:First>
          </b:Person>
          <b:Person>
            <b:Last>Mogollón</b:Last>
            <b:First>Martha</b:First>
          </b:Person>
        </b:NameList>
      </b:Author>
    </b:Author>
    <b:Title>Gamificación con procesos cognitivos para mejorar los niveles de comprensión lectora en estudiantes de octavo grado</b:Title>
    <b:JournalName>Revista Científica Multidisciplinaria</b:JournalName>
    <b:Year>2020</b:Year>
    <b:URL>https://latinjournal.org/index.php/ipsa/article/download/997/762</b:URL>
    <b:LCID>en-US</b:LCID>
    <b:Pages>127-142</b:Pages>
    <b:Volume>5</b:Volume>
    <b:Issue>1</b:Issue>
    <b:RefOrder>24</b:RefOrder>
  </b:Source>
  <b:Source>
    <b:Tag>Hol20</b:Tag>
    <b:SourceType>JournalArticle</b:SourceType>
    <b:Guid>{A95C2C2D-C150-459B-BBF1-3E9CBB6D86F6}</b:Guid>
    <b:Author>
      <b:Author>
        <b:NameList>
          <b:Person>
            <b:Last>Holguín</b:Last>
            <b:First>Fresia</b:First>
          </b:Person>
          <b:Person>
            <b:Last>Holguín</b:Last>
            <b:First>Edys</b:First>
          </b:Person>
          <b:Person>
            <b:Last>García</b:Last>
            <b:First>Nelly</b:First>
          </b:Person>
        </b:NameList>
      </b:Author>
    </b:Author>
    <b:Title>Gamificación en la enseñanza de las Matemáticas: Una revisión sistemática</b:Title>
    <b:JournalName>ELOS: Revista de Estudios Interdisciplinarios en Ciencias Sociales</b:JournalName>
    <b:Year>2020</b:Year>
    <b:Pages>62-75</b:Pages>
    <b:URL>https://dialnet.unirioja.es/descarga/articulo/7200001.pdf</b:URL>
    <b:Volume>22</b:Volume>
    <b:Issue>1</b:Issue>
    <b:RefOrder>25</b:RefOrder>
  </b:Source>
  <b:Source>
    <b:Tag>Ped18</b:Tag>
    <b:SourceType>JournalArticle</b:SourceType>
    <b:Guid>{8B46F95A-B3F8-420B-8EE7-019C91BF0FF4}</b:Guid>
    <b:Author>
      <b:Author>
        <b:NameList>
          <b:Person>
            <b:Last>Pedroza</b:Last>
            <b:First>Blanca</b:First>
          </b:Person>
          <b:Person>
            <b:Last>González</b:Last>
            <b:First>Juan</b:First>
          </b:Person>
          <b:Person>
            <b:Last>Guerrero</b:Last>
            <b:First>Josefina</b:First>
          </b:Person>
          <b:Person>
            <b:Last>Collazos</b:Last>
            <b:First>César</b:First>
          </b:Person>
          <b:Person>
            <b:Last>Lecona</b:Last>
            <b:First>Aletvia</b:First>
          </b:Person>
        </b:NameList>
      </b:Author>
    </b:Author>
    <b:Title>Propuesta de un Tutor Cognitivo semi-automatizado con gamificación einterfaces tangibles para álgebra</b:Title>
    <b:JournalName>UAJournals</b:JournalName>
    <b:Year>2018</b:Year>
    <b:URL>http://scholar.googleusercontent.com/scholar?q=cache:QffclCjhvawJ:scholar.google.com/+la+gamificacion+y+cognicion&amp;hl=es&amp;as_sdt=0,5&amp;as_vis=1</b:URL>
    <b:Pages>63-80</b:Pages>
    <b:Volume>7</b:Volume>
    <b:Issue>1</b:Issue>
    <b:LCID>en-US</b:LCID>
    <b:RefOrder>26</b:RefOrder>
  </b:Source>
  <b:Source>
    <b:Tag>New</b:Tag>
    <b:SourceType>Book</b:SourceType>
    <b:Guid>{6DE063AE-28B9-4808-A5A1-9AE79BC99438}</b:Guid>
    <b:Title>Inventario de Desarrollo de Battelle. Manual de aplicación</b:Title>
    <b:Publisher>TEA</b:Publisher>
    <b:Author>
      <b:Author>
        <b:NameList>
          <b:Person>
            <b:Last>Newborg</b:Last>
            <b:First>Jean</b:First>
          </b:Person>
          <b:Person>
            <b:Last>Stock</b:Last>
            <b:First>John</b:First>
            <b:Middle>y Wnek, Linda</b:Middle>
          </b:Person>
        </b:NameList>
      </b:Author>
    </b:Author>
    <b:URL>https://web.teaediciones.com/ejemplos/battelle-manual-extracto.pdf</b:URL>
    <b:Year>2011</b:Year>
    <b:LCID>en-US</b:LCID>
    <b:RefOrder>1</b:RefOrder>
  </b:Source>
  <b:Source>
    <b:Tag>Lóp16</b:Tag>
    <b:SourceType>JournalArticle</b:SourceType>
    <b:Guid>{FF42AAA1-797B-4DDA-99D8-42699CD65597}</b:Guid>
    <b:Title>En torno al concepto de competencia:un análisis de fuentes</b:Title>
    <b:Year>2016</b:Year>
    <b:Author>
      <b:Author>
        <b:NameList>
          <b:Person>
            <b:Last>López</b:Last>
            <b:First>Ernesto</b:First>
          </b:Person>
        </b:NameList>
      </b:Author>
    </b:Author>
    <b:JournalName>Profesorado. Revista de Currículum y Formación de Profesorado</b:JournalName>
    <b:Pages>311-322</b:Pages>
    <b:Volume>20</b:Volume>
    <b:Issue>1</b:Issue>
    <b:URL>https://www.redalyc.org/pdf/567/56745576016.pdf</b:URL>
    <b:RefOrder>13</b:RefOrder>
  </b:Source>
  <b:Source>
    <b:Tag>Anc21</b:Tag>
    <b:SourceType>JournalArticle</b:SourceType>
    <b:Guid>{631D7F60-4672-403A-9475-5D28C9D437D7}</b:Guid>
    <b:Author>
      <b:Author>
        <b:NameList>
          <b:Person>
            <b:Last>Anchundia</b:Last>
            <b:First>Pedro</b:First>
          </b:Person>
          <b:Person>
            <b:Last>Alcívar</b:Last>
            <b:First>Isidro</b:First>
            <b:Middle>y Álava, Derlí</b:Middle>
          </b:Person>
        </b:NameList>
      </b:Author>
    </b:Author>
    <b:Title>Innovación Tecnológica de la gestión de vinculación con la sociedad en la Universidad Laica Eloy Alfaro de Manabí</b:Title>
    <b:JournalName>REFCaIE</b:JournalName>
    <b:Year>2021</b:Year>
    <b:Pages>32-46</b:Pages>
    <b:Volume>9</b:Volume>
    <b:Issue>1</b:Issue>
    <b:URL>https://refcale.uleam.edu.ec/index.php/refcale/article/view/3447/2136</b:URL>
    <b:RefOrder>7</b:RefOrder>
  </b:Source>
  <b:Source>
    <b:Tag>Sió17</b:Tag>
    <b:SourceType>JournalArticle</b:SourceType>
    <b:Guid>{1BF73851-8318-46EA-B6A2-DF9655D70C8F}</b:Guid>
    <b:Author>
      <b:Author>
        <b:NameList>
          <b:Person>
            <b:Last>Sión</b:Last>
            <b:First>Sonia</b:First>
          </b:Person>
          <b:Person>
            <b:Last>Espinoza</b:Last>
            <b:First>Mónica</b:First>
            <b:Middle>y Álava, Sobeida</b:Middle>
          </b:Person>
        </b:NameList>
      </b:Author>
    </b:Author>
    <b:Title>Las tecnologías de información y comunicación como herramienta cognitiva para la construcción de aprendizajes significativos</b:Title>
    <b:JournalName>Revista Electrónica Formación y Calidad Educativa (REFCalE)</b:JournalName>
    <b:Year>2017</b:Year>
    <b:Pages>publicaci´ñon electrónica</b:Pages>
    <b:Volume>5</b:Volume>
    <b:Issue>2</b:Issue>
    <b:URL>https://redib.org/Record/oai_articulo1275321-las-tecnolog%C3%ADas-de-informaci%C3%B3n-y-comunicaci%C3%B3n-como-herramienta-cognitiva-para-la-construcci%C3%B3n-de-aprendizajes-significativos</b:URL>
    <b:RefOrder>22</b:RefOrder>
  </b:Source>
  <b:Source>
    <b:Tag>DRA221</b:Tag>
    <b:SourceType>InternetSite</b:SourceType>
    <b:Guid>{A25E18F5-0A05-4D16-BB83-444CD59F0F4F}</b:Guid>
    <b:Author>
      <b:Author>
        <b:Corporate>DRAE</b:Corporate>
      </b:Author>
    </b:Author>
    <b:Title>Cooperación</b:Title>
    <b:Year>2022</b:Year>
    <b:Month>Marzo</b:Month>
    <b:Day>22</b:Day>
    <b:URL>https://www.google.com/search?q=RAE+cooperacion&amp;rlz=1C1ALOY_esEC981EC981&amp;oq=RAE+cooperacion&amp;aqs=chrome..69i57.6425j0j7&amp;sourceid=chrome&amp;ie=UTF-8</b:URL>
    <b:RefOrder>14</b:RefOrder>
  </b:Source>
</b:Sources>
</file>

<file path=customXml/itemProps1.xml><?xml version="1.0" encoding="utf-8"?>
<ds:datastoreItem xmlns:ds="http://schemas.openxmlformats.org/officeDocument/2006/customXml" ds:itemID="{3BCBEC30-5C3F-4477-9CE1-07B5C4BA4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7555</Words>
  <Characters>43070</Characters>
  <Application>Microsoft Office Word</Application>
  <DocSecurity>0</DocSecurity>
  <Lines>358</Lines>
  <Paragraphs>101</Paragraphs>
  <ScaleCrop>false</ScaleCrop>
  <HeadingPairs>
    <vt:vector size="2" baseType="variant">
      <vt:variant>
        <vt:lpstr>Título</vt:lpstr>
      </vt:variant>
      <vt:variant>
        <vt:i4>1</vt:i4>
      </vt:variant>
    </vt:vector>
  </HeadingPairs>
  <TitlesOfParts>
    <vt:vector size="1" baseType="lpstr">
      <vt:lpstr>TÍTULO LARGO</vt:lpstr>
    </vt:vector>
  </TitlesOfParts>
  <Company/>
  <LinksUpToDate>false</LinksUpToDate>
  <CharactersWithSpaces>50524</CharactersWithSpaces>
  <SharedDoc>false</SharedDoc>
  <HLinks>
    <vt:vector size="12" baseType="variant">
      <vt:variant>
        <vt:i4>1835038</vt:i4>
      </vt:variant>
      <vt:variant>
        <vt:i4>3</vt:i4>
      </vt:variant>
      <vt:variant>
        <vt:i4>0</vt:i4>
      </vt:variant>
      <vt:variant>
        <vt:i4>5</vt:i4>
      </vt:variant>
      <vt:variant>
        <vt:lpwstr>http://www.refcale.uleam.edu.ec/</vt:lpwstr>
      </vt:variant>
      <vt:variant>
        <vt:lpwstr/>
      </vt:variant>
      <vt:variant>
        <vt:i4>8126565</vt:i4>
      </vt:variant>
      <vt:variant>
        <vt:i4>0</vt:i4>
      </vt:variant>
      <vt:variant>
        <vt:i4>0</vt:i4>
      </vt:variant>
      <vt:variant>
        <vt:i4>5</vt:i4>
      </vt:variant>
      <vt:variant>
        <vt:lpwstr>http://www.eric.ed.gov/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LARGO</dc:title>
  <dc:subject/>
  <cp:keywords/>
  <cp:lastModifiedBy>Iliana</cp:lastModifiedBy>
  <cp:revision>20</cp:revision>
  <dcterms:created xsi:type="dcterms:W3CDTF">2022-03-23T22:13:00Z</dcterms:created>
  <dcterms:modified xsi:type="dcterms:W3CDTF">2022-03-24T03:14:00Z</dcterms:modified>
</cp:coreProperties>
</file>